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40" w:after="2"/>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54"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54"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54" w:after="283"/>
        <w:jc w:val="center"/>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20"/>
          <w:u w:val="single"/>
        </w:rPr>
        <w:t>July 29, 2026</w:t>
      </w:r>
    </w:p>
    <w:p>
      <w:pPr>
        <w:pStyle w:val="TextBody"/>
        <w:bidi w:val="0"/>
        <w:spacing w:before="54" w:after="283"/>
        <w:jc w:val="center"/>
        <w:rPr/>
      </w:pPr>
      <w:r>
        <w:rPr/>
      </w:r>
    </w:p>
    <w:p>
      <w:pPr>
        <w:pStyle w:val="TextBody"/>
        <w:bidi w:val="0"/>
        <w:spacing w:lineRule="auto" w:line="268" w:before="0" w:after="0"/>
        <w:jc w:val="center"/>
        <w:rPr>
          <w:rFonts w:ascii="Times New Roman;serif" w:hAnsi="Times New Roman;serif"/>
          <w:b/>
          <w:color w:val="000000"/>
          <w:sz w:val="36"/>
          <w:u w:val="single"/>
        </w:rPr>
      </w:pPr>
      <w:r>
        <w:rPr>
          <w:rFonts w:ascii="Times New Roman;serif" w:hAnsi="Times New Roman;serif"/>
          <w:b/>
          <w:color w:val="000000"/>
          <w:sz w:val="36"/>
          <w:u w:val="single"/>
        </w:rPr>
        <w:t>FAIR ISAAC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54" w:after="283"/>
        <w:jc w:val="center"/>
        <w:rPr/>
      </w:pPr>
      <w:r>
        <w:rPr/>
      </w:r>
    </w:p>
    <w:p>
      <w:pPr>
        <w:pStyle w:val="TextBody"/>
        <w:bidi w:val="0"/>
        <w:spacing w:before="0" w:after="0"/>
        <w:jc w:val="left"/>
        <w:rPr/>
      </w:pPr>
      <w:r>
        <w:rPr/>
      </w:r>
    </w:p>
    <w:tbl>
      <w:tblPr>
        <w:tblW w:w="6190" w:type="dxa"/>
        <w:jc w:val="left"/>
        <w:tblInd w:w="0" w:type="dxa"/>
        <w:tblLayout w:type="fixed"/>
        <w:tblCellMar>
          <w:top w:w="28" w:type="dxa"/>
          <w:left w:w="28" w:type="dxa"/>
          <w:bottom w:w="28" w:type="dxa"/>
          <w:right w:w="28" w:type="dxa"/>
        </w:tblCellMar>
      </w:tblPr>
      <w:tblGrid>
        <w:gridCol w:w="566"/>
        <w:gridCol w:w="496"/>
        <w:gridCol w:w="496"/>
        <w:gridCol w:w="496"/>
        <w:gridCol w:w="496"/>
        <w:gridCol w:w="522"/>
        <w:gridCol w:w="393"/>
        <w:gridCol w:w="393"/>
        <w:gridCol w:w="398"/>
        <w:gridCol w:w="564"/>
        <w:gridCol w:w="564"/>
        <w:gridCol w:w="806"/>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072" w:type="dxa"/>
            <w:gridSpan w:val="6"/>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p>
            <w:pPr>
              <w:pStyle w:val="TableContents"/>
              <w:bidi w:val="0"/>
              <w:spacing w:before="0" w:after="0"/>
              <w:jc w:val="center"/>
              <w:rPr/>
            </w:pPr>
            <w:r>
              <w:rPr/>
            </w:r>
          </w:p>
        </w:tc>
        <w:tc>
          <w:tcPr>
            <w:tcW w:w="11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1-11689</w:t>
            </w:r>
          </w:p>
          <w:p>
            <w:pPr>
              <w:pStyle w:val="TableContents"/>
              <w:bidi w:val="0"/>
              <w:spacing w:before="0" w:after="0"/>
              <w:jc w:val="center"/>
              <w:rPr/>
            </w:pPr>
            <w:r>
              <w:r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94-1499887</w:t>
            </w:r>
          </w:p>
        </w:tc>
      </w:tr>
      <w:tr>
        <w:trPr/>
        <w:tc>
          <w:tcPr>
            <w:tcW w:w="307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(State or other jurisdiction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File Number)</w:t>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(IRS Employer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Identification Number)</w:t>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5 West Mendenhall, Suite 105</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u w:val="single"/>
              </w:rPr>
            </w:pPr>
            <w:r>
              <w:rPr>
                <w:rFonts w:ascii="Times New Roman;serif" w:hAnsi="Times New Roman;serif"/>
                <w:b/>
                <w:color w:val="000000"/>
                <w:sz w:val="20"/>
                <w:u w:val="single"/>
              </w:rPr>
              <w:t>Bozeman,</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Montana</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u w:val="single"/>
              </w:rPr>
            </w:pPr>
            <w:r>
              <w:rPr>
                <w:rFonts w:ascii="Times New Roman;serif" w:hAnsi="Times New Roman;serif"/>
                <w:b/>
                <w:color w:val="000000"/>
                <w:sz w:val="20"/>
                <w:u w:val="single"/>
              </w:rPr>
              <w:t>59715</w:t>
            </w:r>
          </w:p>
        </w:tc>
      </w:tr>
      <w:tr>
        <w:trPr/>
        <w:tc>
          <w:tcPr>
            <w:tcW w:w="307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120"/>
        <w:jc w:val="center"/>
        <w:rP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 xml:space="preserve">406-982-7276 </w:t>
      </w:r>
      <w:r>
        <w:rPr>
          <w:color w:val="000000"/>
        </w:rPr>
        <w:t> </w:t>
      </w:r>
    </w:p>
    <w:p>
      <w:pPr>
        <w:pStyle w:val="TextBody"/>
        <w:bidi w:val="0"/>
        <w:spacing w:lineRule="auto" w:line="288" w:before="180" w:after="6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014" w:type="dxa"/>
        <w:jc w:val="left"/>
        <w:tblInd w:w="0" w:type="dxa"/>
        <w:tblLayout w:type="fixed"/>
        <w:tblCellMar>
          <w:top w:w="28" w:type="dxa"/>
          <w:left w:w="28" w:type="dxa"/>
          <w:bottom w:w="28" w:type="dxa"/>
          <w:right w:w="28" w:type="dxa"/>
        </w:tblCellMar>
      </w:tblPr>
      <w:tblGrid>
        <w:gridCol w:w="1267"/>
        <w:gridCol w:w="1114"/>
        <w:gridCol w:w="1114"/>
        <w:gridCol w:w="565"/>
        <w:gridCol w:w="565"/>
        <w:gridCol w:w="565"/>
        <w:gridCol w:w="1120"/>
        <w:gridCol w:w="1120"/>
        <w:gridCol w:w="1584"/>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01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FICO</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w:t>
        <w:noBreakHyphen/>
        <w:t>2 of this chapter).</w:t>
      </w:r>
    </w:p>
    <w:tbl>
      <w:tblPr>
        <w:tblW w:w="367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108"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bl>
    <w:p>
      <w:pPr>
        <w:pStyle w:val="TextBody"/>
        <w:bidi w:val="0"/>
        <w:spacing w:lineRule="auto" w:line="288" w:before="108" w:after="283"/>
        <w:jc w:val="right"/>
        <w:rPr>
          <w:color w:val="000000"/>
        </w:rPr>
      </w:pP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before="0" w:after="2"/>
        <w:jc w:val="left"/>
        <w:rPr/>
      </w:pPr>
      <w:r>
        <w:rPr/>
      </w:r>
    </w:p>
    <w:p>
      <w:pPr>
        <w:pStyle w:val="TextBody"/>
        <w:bidi w:val="0"/>
        <w:spacing w:before="240" w:after="283"/>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rPr/>
      </w:pPr>
      <w:r>
        <w:rPr/>
      </w:r>
    </w:p>
    <w:tbl>
      <w:tblPr>
        <w:tblW w:w="5172" w:type="dxa"/>
        <w:jc w:val="left"/>
        <w:tblInd w:w="0" w:type="dxa"/>
        <w:tblLayout w:type="fixed"/>
        <w:tblCellMar>
          <w:top w:w="28" w:type="dxa"/>
          <w:left w:w="28" w:type="dxa"/>
          <w:bottom w:w="28" w:type="dxa"/>
          <w:right w:w="28" w:type="dxa"/>
        </w:tblCellMar>
      </w:tblPr>
      <w:tblGrid>
        <w:gridCol w:w="1737"/>
        <w:gridCol w:w="1527"/>
        <w:gridCol w:w="1536"/>
        <w:gridCol w:w="109"/>
        <w:gridCol w:w="109"/>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Item 2.02. Results of Operations and Financial Condition.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Item 9.01. Financial Statements and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color w:val="000000"/>
              </w:rPr>
            </w:pPr>
            <w:r>
              <w:rPr>
                <w:color w:val="000000"/>
              </w:rPr>
              <w:t>                 </w:t>
            </w:r>
            <w:r>
              <w:rPr>
                <w:rFonts w:ascii="Times New Roman;serif" w:hAnsi="Times New Roman;serif"/>
                <w:b w:val="false"/>
                <w:color w:val="000000"/>
                <w:sz w:val="20"/>
              </w:rPr>
              <w:t>Exhibit 99.1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Fair Isaac Corporation (the “Company”) reported its financial results for the quarter ended June 30, 2026. See the Company’s press release dated July 29, 2026, which is furnished as Exhibit 99.1 hereto and incorporated by reference in this Item 2.02.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32"/>
        <w:gridCol w:w="1932"/>
        <w:gridCol w:w="273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ind w:left="0" w:right="0" w:hanging="144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1erq32026.htm">
              <w:r>
                <w:rPr>
                  <w:rStyle w:val="InternetLink"/>
                  <w:rFonts w:ascii="Times New Roman;serif" w:hAnsi="Times New Roman;serif"/>
                  <w:b w:val="false"/>
                  <w:color w:val="0000FF"/>
                  <w:sz w:val="20"/>
                  <w:u w:val="single"/>
                </w:rPr>
                <w:t>Press Release dated July 29,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28"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406"/>
        <w:gridCol w:w="406"/>
        <w:gridCol w:w="40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FICO Announces Earnings of $10.45 per Share</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Third Quarter Fiscal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Revenue of $674 million vs. $536 million in prior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BOZEMAN, Mont.--(BUSINESS WIRE)--July 29, 2026--FICO (NYSE:FICO), a global analytics software leader, today announced results for its third fiscal quarter ended June 30,2026.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Quarter Fiscal 2026 GAAP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quarter totaled $237.2 million, or $10.45 per share, versus $181.8 million, or $7.40 per share, in the prior year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quarter was $380.4 million versus $286.2 million in the prior year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Quarter Fiscal 2026 Non-GAAP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Non-GAAP Net Income for the quarter was $276.6 million versus $210.6 million in the prior year period. Non-GAAP EPS for the quarter was $12.18 versus $8.57 in the prior year period. Free cash flow was $370.3 million for the current quarter versus $276.2 million in the prior year period. The Non-GAAP financial measures are described in the financial table captioned “Non-GAAP Results” and are reconciled to the corresponding GAAP results in the financial tables at the end of this release.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Third Quarter Fiscal 2026 GAAP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revenues of $674.2 million for the quarter as compared to $536.4 million reported in the prior year period, an increase of 26%.</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We delivered another quarter of strong performance, driven by the successful execution of our strategic priorities,” said Will Lansing, chief executive officer. “We are pleased to announce that we are raising our full year guidance.”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Revenues for the third quarter of fiscal 2026 for the company’s two operating segments were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 xml:space="preserve">revenues, which include the company’s business-to-business (B2B) scoring solutions, and business-to-consumer (B2C) solutions, were $458.9 million in the third quarter, compared to $324.3 million in the prior year period, an increase of 41%. B2B revenue increased 49%, primarily attributable to a higher mortgage origination scores unit price. B2C revenue increased 5% from the prior year period, primarily due to increased royalties derived from scores sold indirectly to consumers through credit reporting agencies.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Software</w:t>
      </w:r>
      <w:r>
        <w:rPr>
          <w:color w:val="000000"/>
        </w:rPr>
        <w:t xml:space="preserve"> </w:t>
      </w:r>
      <w:r>
        <w:rPr>
          <w:rFonts w:ascii="Times New Roman;serif" w:hAnsi="Times New Roman;serif"/>
          <w:b w:val="false"/>
          <w:color w:val="000000"/>
          <w:sz w:val="20"/>
        </w:rPr>
        <w:t>revenues, which include the company’s analytics and digital decisioning technology, were up 2% year-over-year with $215.3 million in the third quarter, compared to $212.1 million in the prior year period. On June 30, 2026, Software Annual Recurring Revenue (ARR) was up 10% year-over-year, consisting of a 62% increase in platform ARR and a 17% decline in non-platform ARR. The total Software Dollar-Based Net Retention Rate was 109% on June 30, 2026, with platform software at 148% and non-platform software at 82%.</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updating its previously provided guidance for fiscal 2026:</w:t>
      </w:r>
    </w:p>
    <w:tbl>
      <w:tblPr>
        <w:tblW w:w="7724" w:type="dxa"/>
        <w:jc w:val="left"/>
        <w:tblInd w:w="0" w:type="dxa"/>
        <w:tblLayout w:type="fixed"/>
        <w:tblCellMar>
          <w:top w:w="28" w:type="dxa"/>
          <w:left w:w="28" w:type="dxa"/>
          <w:bottom w:w="28" w:type="dxa"/>
          <w:right w:w="28" w:type="dxa"/>
        </w:tblCellMar>
      </w:tblPr>
      <w:tblGrid>
        <w:gridCol w:w="729"/>
        <w:gridCol w:w="639"/>
        <w:gridCol w:w="642"/>
        <w:gridCol w:w="1019"/>
        <w:gridCol w:w="1019"/>
        <w:gridCol w:w="1022"/>
        <w:gridCol w:w="775"/>
        <w:gridCol w:w="775"/>
        <w:gridCol w:w="1104"/>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Previous Fiscal 2026 Guidance</w:t>
            </w:r>
          </w:p>
        </w:tc>
        <w:tc>
          <w:tcPr>
            <w:tcW w:w="2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Updated Fiscal 2026 Guidance</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 billion</w:t>
            </w:r>
          </w:p>
        </w:tc>
        <w:tc>
          <w:tcPr>
            <w:tcW w:w="2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 billion</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$825 million</w:t>
            </w:r>
          </w:p>
        </w:tc>
        <w:tc>
          <w:tcPr>
            <w:tcW w:w="2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$850 million</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GAAP EPS</w:t>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$35.60</w:t>
            </w:r>
          </w:p>
        </w:tc>
        <w:tc>
          <w:tcPr>
            <w:tcW w:w="2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$36.86</w:t>
            </w:r>
          </w:p>
        </w:tc>
      </w:tr>
      <w:tr>
        <w:trPr/>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$946 million</w:t>
            </w:r>
          </w:p>
        </w:tc>
        <w:tc>
          <w:tcPr>
            <w:tcW w:w="2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$979 million</w:t>
            </w:r>
          </w:p>
        </w:tc>
      </w:tr>
      <w:tr>
        <w:trPr/>
        <w:tc>
          <w:tcPr>
            <w:tcW w:w="20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EPS</w:t>
            </w:r>
          </w:p>
        </w:tc>
        <w:tc>
          <w:tcPr>
            <w:tcW w:w="30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$40.45</w:t>
            </w:r>
          </w:p>
        </w:tc>
        <w:tc>
          <w:tcPr>
            <w:tcW w:w="26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$42.43</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are described in the financial table captioned “Reconciliation of Non-GAAP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to Host Conference Call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host a webcast on July 29, 2026, at 5:00 p.m. Eastern Time (2:00 p.m. Pacific Time) to report its third quarter fiscal 2026 results and provide various strategic and operational updates. The call can be accessed at FICO’s web site at www.fico.com/investors. A replay of the webcast will be available on our Past Events page through July 29, 2027.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FICO</w:t>
      </w:r>
    </w:p>
    <w:p>
      <w:pPr>
        <w:pStyle w:val="TextBody"/>
        <w:bidi w:val="0"/>
        <w:spacing w:lineRule="auto" w:line="288" w:before="120" w:after="283"/>
        <w:jc w:val="both"/>
        <w:rPr/>
      </w:pPr>
      <w:r>
        <w:rPr>
          <w:rFonts w:ascii="Times New Roman;serif" w:hAnsi="Times New Roman;serif"/>
          <w:b w:val="false"/>
          <w:color w:val="000000"/>
          <w:sz w:val="20"/>
        </w:rPr>
        <w:t>FICO (NYSE: FICO) powers decisions that help people and businesses around the world prosper. Founded in 1956, the company is a pioneer in the use of predictive analytics and data science to improve operational decisions. FICO holds more than 200 U.S. and foreign patents on technologies that increase profitability, customer satisfaction and growth for businesses in financial services, insurance, telecommunications, health care, retail and many other industries. Using FICO solutions, businesses in more than 80 countries do everything from protecting four billion payment cards from fraud, to improving financial inclusion, to increasing supply chain resiliency.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Score, used by 90% of top U.S. lenders, is the standard measure of consumer credit risk in the U.S. and has been made available in over 40 other countries, improving risk management, credit access and transparency.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Learn more at https://www.fico.com/en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Join the conversation at https://x.com/FICO_corp &amp; https://www.fico.com/blogs/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FICO news and media resources, visit https://www.fico.com/en/newsroom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FICO is a registered trademark of Fair Isaac Corporation in the U.S. and other countries.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Statement Concerning Forward-Looking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macroeconomic conditions on FICO’s business, operations and personnel, the success of the Company’s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costs of consumer credit and other data, the failure to protect such data, the failure to realize the anticipated benefits of any acquisitions or divestitures, and material adverse developments or uncertainty in global economic conditions or in the markets or industries that the Company serves. Additional information on these risks and uncertainties and other factors that could affect FICO’s future results are described from time to time in FICO’s SEC reports, including its Annual Report on Form 10-K for the year ended September 30, 2025 and its subsequent filings with the SEC. If any of these risks or uncertainties materializes,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97" w:type="dxa"/>
        <w:jc w:val="left"/>
        <w:tblInd w:w="0" w:type="dxa"/>
        <w:tblLayout w:type="fixed"/>
        <w:tblCellMar>
          <w:top w:w="28" w:type="dxa"/>
          <w:left w:w="28" w:type="dxa"/>
          <w:bottom w:w="28" w:type="dxa"/>
          <w:right w:w="28" w:type="dxa"/>
        </w:tblCellMar>
      </w:tblPr>
      <w:tblGrid>
        <w:gridCol w:w="1400"/>
        <w:gridCol w:w="1235"/>
        <w:gridCol w:w="1250"/>
        <w:gridCol w:w="211"/>
        <w:gridCol w:w="976"/>
        <w:gridCol w:w="109"/>
        <w:gridCol w:w="109"/>
        <w:gridCol w:w="109"/>
        <w:gridCol w:w="109"/>
        <w:gridCol w:w="250"/>
        <w:gridCol w:w="1157"/>
        <w:gridCol w:w="182"/>
      </w:tblGrid>
      <w:tr>
        <w:trPr/>
        <w:tc>
          <w:tcPr>
            <w:tcW w:w="140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41,881</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705,165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3,613,917 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(1,745,784)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374" w:type="dxa"/>
        <w:jc w:val="left"/>
        <w:tblInd w:w="0" w:type="dxa"/>
        <w:tblLayout w:type="fixed"/>
        <w:tblCellMar>
          <w:top w:w="28" w:type="dxa"/>
          <w:left w:w="28" w:type="dxa"/>
          <w:bottom w:w="28" w:type="dxa"/>
          <w:right w:w="28" w:type="dxa"/>
        </w:tblCellMar>
      </w:tblPr>
      <w:tblGrid>
        <w:gridCol w:w="1364"/>
        <w:gridCol w:w="1194"/>
        <w:gridCol w:w="120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09" w:type="dxa"/>
        <w:jc w:val="center"/>
        <w:tblInd w:w="0" w:type="dxa"/>
        <w:tblLayout w:type="fixed"/>
        <w:tblCellMar>
          <w:top w:w="28" w:type="dxa"/>
          <w:left w:w="28" w:type="dxa"/>
          <w:bottom w:w="28" w:type="dxa"/>
          <w:right w:w="28" w:type="dxa"/>
        </w:tblCellMar>
      </w:tblPr>
      <w:tblGrid>
        <w:gridCol w:w="2429"/>
        <w:gridCol w:w="2138"/>
        <w:gridCol w:w="2152"/>
        <w:gridCol w:w="213"/>
        <w:gridCol w:w="837"/>
        <w:gridCol w:w="109"/>
        <w:gridCol w:w="109"/>
        <w:gridCol w:w="109"/>
        <w:gridCol w:w="109"/>
        <w:gridCol w:w="213"/>
        <w:gridCol w:w="837"/>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activity from marketable securities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81" w:type="dxa"/>
        <w:jc w:val="left"/>
        <w:tblInd w:w="0" w:type="dxa"/>
        <w:tblLayout w:type="fixed"/>
        <w:tblCellMar>
          <w:top w:w="28" w:type="dxa"/>
          <w:left w:w="28" w:type="dxa"/>
          <w:bottom w:w="28" w:type="dxa"/>
          <w:right w:w="28" w:type="dxa"/>
        </w:tblCellMar>
      </w:tblPr>
      <w:tblGrid>
        <w:gridCol w:w="1255"/>
        <w:gridCol w:w="1100"/>
        <w:gridCol w:w="1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761"/>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(30,560)</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547,030 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ind w:left="0" w:right="0" w:firstLine="63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(26,582)</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528,556 </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The numbers may not sum to total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GUIDANCE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737" w:type="dxa"/>
        <w:jc w:val="center"/>
        <w:tblInd w:w="0" w:type="dxa"/>
        <w:tblLayout w:type="fixed"/>
        <w:tblCellMar>
          <w:top w:w="28" w:type="dxa"/>
          <w:left w:w="28" w:type="dxa"/>
          <w:bottom w:w="28" w:type="dxa"/>
          <w:right w:w="28" w:type="dxa"/>
        </w:tblCellMar>
      </w:tblPr>
      <w:tblGrid>
        <w:gridCol w:w="1146"/>
        <w:gridCol w:w="1005"/>
        <w:gridCol w:w="1013"/>
        <w:gridCol w:w="109"/>
        <w:gridCol w:w="109"/>
        <w:gridCol w:w="109"/>
        <w:gridCol w:w="548"/>
        <w:gridCol w:w="1599"/>
        <w:gridCol w:w="283"/>
        <w:gridCol w:w="109"/>
        <w:gridCol w:w="109"/>
        <w:gridCol w:w="109"/>
        <w:gridCol w:w="297"/>
        <w:gridCol w:w="867"/>
        <w:gridCol w:w="132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Previous Fiscal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Updated Fiscal 2026 Guidance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2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25"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3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32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325" w:type="dxa"/>
            <w:tcBorders/>
            <w:shd w:fill="FFFF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The numbers may not sum to total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Investors/Analysts: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Dave Singleton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Isaac Corporation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(800) 459-7125</w:t>
      </w:r>
    </w:p>
    <w:p>
      <w:pPr>
        <w:pStyle w:val="TextBody"/>
        <w:bidi w:val="0"/>
        <w:spacing w:lineRule="auto" w:line="268"/>
        <w:jc w:val="both"/>
        <w:rPr>
          <w:rFonts w:ascii="Times New Roman;serif" w:hAnsi="Times New Roman;serif"/>
          <w:b w:val="false"/>
          <w:color w:val="0000FF"/>
          <w:sz w:val="20"/>
        </w:rPr>
      </w:pPr>
      <w:r>
        <w:rPr>
          <w:rFonts w:ascii="Times New Roman;serif" w:hAnsi="Times New Roman;serif"/>
          <w:b w:val="false"/>
          <w:color w:val="0000FF"/>
          <w:sz w:val="20"/>
        </w:rPr>
        <w:t>investor@fico.com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2714</Words>
  <Characters>15874</Characters>
  <CharactersWithSpaces>18265</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