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9, 2022</w:t>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u w:val="single" w:color="auto"/>
          <w:color w:val="auto"/>
        </w:rPr>
        <w:t>FAIR ISAAC CORPORATION</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20" w:type="dxa"/>
            <w:vAlign w:val="bottom"/>
            <w:gridSpan w:val="3"/>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20" w:type="dxa"/>
            <w:vAlign w:val="bottom"/>
            <w:gridSpan w:val="4"/>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001-11689</w:t>
            </w:r>
          </w:p>
        </w:tc>
        <w:tc>
          <w:tcPr>
            <w:tcW w:w="258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94-1499887</w:t>
            </w:r>
          </w:p>
        </w:tc>
      </w:tr>
      <w:tr>
        <w:trPr>
          <w:trHeight w:val="20"/>
        </w:trPr>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8"/>
        </w:trPr>
        <w:tc>
          <w:tcPr>
            <w:tcW w:w="3740" w:type="dxa"/>
            <w:vAlign w:val="bottom"/>
            <w:gridSpan w:val="5"/>
          </w:tcPr>
          <w:p>
            <w:pPr>
              <w:jc w:val="center"/>
              <w:ind w:left="13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1380" w:type="dxa"/>
            <w:vAlign w:val="bottom"/>
          </w:tcPr>
          <w:p>
            <w:pPr>
              <w:spacing w:after="0"/>
              <w:rPr>
                <w:sz w:val="18"/>
                <w:szCs w:val="18"/>
                <w:color w:val="auto"/>
              </w:rPr>
            </w:pPr>
          </w:p>
        </w:tc>
        <w:tc>
          <w:tcPr>
            <w:tcW w:w="224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color w:val="auto"/>
              </w:rPr>
              <w:t>(Commission</w:t>
            </w:r>
          </w:p>
        </w:tc>
        <w:tc>
          <w:tcPr>
            <w:tcW w:w="2580" w:type="dxa"/>
            <w:vAlign w:val="bottom"/>
            <w:gridSpan w:val="5"/>
          </w:tcPr>
          <w:p>
            <w:pPr>
              <w:jc w:val="center"/>
              <w:ind w:left="11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1220" w:type="dxa"/>
            <w:vAlign w:val="bottom"/>
          </w:tcPr>
          <w:p>
            <w:pPr>
              <w:spacing w:after="0"/>
              <w:rPr>
                <w:sz w:val="20"/>
                <w:szCs w:val="20"/>
                <w:color w:val="auto"/>
              </w:rPr>
            </w:pPr>
          </w:p>
        </w:tc>
        <w:tc>
          <w:tcPr>
            <w:tcW w:w="2520" w:type="dxa"/>
            <w:vAlign w:val="bottom"/>
            <w:gridSpan w:val="4"/>
          </w:tcPr>
          <w:p>
            <w:pPr>
              <w:jc w:val="center"/>
              <w:ind w:right="1000"/>
              <w:spacing w:after="0"/>
              <w:rPr>
                <w:sz w:val="20"/>
                <w:szCs w:val="20"/>
                <w:color w:val="auto"/>
              </w:rPr>
            </w:pPr>
            <w:r>
              <w:rPr>
                <w:rFonts w:ascii="Times New Roman" w:cs="Times New Roman" w:eastAsia="Times New Roman" w:hAnsi="Times New Roman"/>
                <w:sz w:val="18"/>
                <w:szCs w:val="18"/>
                <w:color w:val="auto"/>
              </w:rPr>
              <w:t>of incorporation)</w:t>
            </w:r>
          </w:p>
        </w:tc>
        <w:tc>
          <w:tcPr>
            <w:tcW w:w="1380" w:type="dxa"/>
            <w:vAlign w:val="bottom"/>
          </w:tcPr>
          <w:p>
            <w:pPr>
              <w:spacing w:after="0"/>
              <w:rPr>
                <w:sz w:val="20"/>
                <w:szCs w:val="20"/>
                <w:color w:val="auto"/>
              </w:rPr>
            </w:pPr>
          </w:p>
        </w:tc>
        <w:tc>
          <w:tcPr>
            <w:tcW w:w="224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color w:val="auto"/>
              </w:rPr>
              <w:t>File Number)</w:t>
            </w:r>
          </w:p>
        </w:tc>
        <w:tc>
          <w:tcPr>
            <w:tcW w:w="2580" w:type="dxa"/>
            <w:vAlign w:val="bottom"/>
            <w:gridSpan w:val="5"/>
          </w:tcPr>
          <w:p>
            <w:pPr>
              <w:jc w:val="center"/>
              <w:ind w:left="11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740" w:type="dxa"/>
            <w:vAlign w:val="bottom"/>
            <w:gridSpan w:val="5"/>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5 West Mendenhall, Suite 105</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8"/>
        </w:trPr>
        <w:tc>
          <w:tcPr>
            <w:tcW w:w="1220" w:type="dxa"/>
            <w:vAlign w:val="bottom"/>
          </w:tcPr>
          <w:p>
            <w:pPr>
              <w:spacing w:after="0"/>
              <w:rPr>
                <w:sz w:val="17"/>
                <w:szCs w:val="17"/>
                <w:color w:val="auto"/>
              </w:rPr>
            </w:pPr>
          </w:p>
        </w:tc>
        <w:tc>
          <w:tcPr>
            <w:tcW w:w="2520" w:type="dxa"/>
            <w:vAlign w:val="bottom"/>
            <w:gridSpan w:val="4"/>
          </w:tcPr>
          <w:p>
            <w:pPr>
              <w:jc w:val="center"/>
              <w:ind w:right="1020"/>
              <w:spacing w:after="0" w:line="198" w:lineRule="exact"/>
              <w:rPr>
                <w:sz w:val="20"/>
                <w:szCs w:val="20"/>
                <w:color w:val="auto"/>
              </w:rPr>
            </w:pPr>
            <w:r>
              <w:rPr>
                <w:rFonts w:ascii="Times New Roman" w:cs="Times New Roman" w:eastAsia="Times New Roman" w:hAnsi="Times New Roman"/>
                <w:sz w:val="18"/>
                <w:szCs w:val="18"/>
                <w:b w:val="1"/>
                <w:bCs w:val="1"/>
                <w:color w:val="auto"/>
                <w:w w:val="99"/>
              </w:rPr>
              <w:t>Bozeman, Montana</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360" w:type="dxa"/>
            <w:vAlign w:val="bottom"/>
            <w:gridSpan w:val="4"/>
          </w:tcPr>
          <w:p>
            <w:pPr>
              <w:jc w:val="right"/>
              <w:ind w:right="220"/>
              <w:spacing w:after="0" w:line="198" w:lineRule="exact"/>
              <w:rPr>
                <w:sz w:val="20"/>
                <w:szCs w:val="20"/>
                <w:color w:val="auto"/>
              </w:rPr>
            </w:pPr>
            <w:r>
              <w:rPr>
                <w:rFonts w:ascii="Times New Roman" w:cs="Times New Roman" w:eastAsia="Times New Roman" w:hAnsi="Times New Roman"/>
                <w:sz w:val="18"/>
                <w:szCs w:val="18"/>
                <w:b w:val="1"/>
                <w:bCs w:val="1"/>
                <w:color w:val="auto"/>
              </w:rPr>
              <w:t>59715</w:t>
            </w:r>
          </w:p>
        </w:tc>
        <w:tc>
          <w:tcPr>
            <w:tcW w:w="22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1500" w:type="dxa"/>
            <w:vAlign w:val="bottom"/>
            <w:gridSpan w:val="3"/>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r>
      <w:tr>
        <w:trPr>
          <w:trHeight w:val="237"/>
        </w:trPr>
        <w:tc>
          <w:tcPr>
            <w:tcW w:w="3740" w:type="dxa"/>
            <w:vAlign w:val="bottom"/>
            <w:gridSpan w:val="5"/>
          </w:tcPr>
          <w:p>
            <w:pPr>
              <w:jc w:val="center"/>
              <w:ind w:left="1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1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rPr>
              <w:t>(Zip Code)</w:t>
            </w:r>
          </w:p>
        </w:tc>
      </w:tr>
      <w:tr>
        <w:trPr>
          <w:trHeight w:val="392"/>
        </w:trPr>
        <w:tc>
          <w:tcPr>
            <w:tcW w:w="3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406-982-7276</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0" w:lineRule="exact"/>
        <w:rPr>
          <w:sz w:val="24"/>
          <w:szCs w:val="24"/>
          <w:color w:val="auto"/>
        </w:rPr>
      </w:pPr>
    </w:p>
    <w:p>
      <w:pPr>
        <w:spacing w:after="0" w:line="241"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8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10"/>
        </w:trPr>
        <w:tc>
          <w:tcPr>
            <w:tcW w:w="47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3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45"/>
        </w:trPr>
        <w:tc>
          <w:tcPr>
            <w:tcW w:w="470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3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34"/>
        </w:trPr>
        <w:tc>
          <w:tcPr>
            <w:tcW w:w="47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21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7"/>
              </w:rPr>
              <w:t>FICO</w:t>
            </w:r>
          </w:p>
        </w:tc>
        <w:tc>
          <w:tcPr>
            <w:tcW w:w="43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this chapter).</w:t>
      </w:r>
    </w:p>
    <w:p>
      <w:pPr>
        <w:spacing w:after="0" w:line="150"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288290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1" w:name="page2"/>
    <w:bookmarkEnd w:id="1"/>
    <w:p>
      <w:pPr>
        <w:jc w:val="right"/>
        <w:ind w:right="35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2.02.</w:t>
      </w:r>
      <w:r>
        <w:rPr>
          <w:sz w:val="20"/>
          <w:szCs w:val="20"/>
          <w:color w:val="auto"/>
        </w:rPr>
        <w:tab/>
      </w:r>
      <w:r>
        <w:rPr>
          <w:rFonts w:ascii="Times New Roman" w:cs="Times New Roman" w:eastAsia="Times New Roman" w:hAnsi="Times New Roman"/>
          <w:sz w:val="18"/>
          <w:szCs w:val="18"/>
          <w:color w:val="auto"/>
        </w:rPr>
        <w:t>Results of Operations and Financial Condition.</w:t>
      </w:r>
    </w:p>
    <w:p>
      <w:pPr>
        <w:spacing w:after="0" w:line="2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9.01.</w:t>
      </w:r>
      <w:r>
        <w:rPr>
          <w:sz w:val="20"/>
          <w:szCs w:val="20"/>
          <w:color w:val="auto"/>
        </w:rPr>
        <w:tab/>
      </w:r>
      <w:r>
        <w:rPr>
          <w:rFonts w:ascii="Times New Roman" w:cs="Times New Roman" w:eastAsia="Times New Roman" w:hAnsi="Times New Roman"/>
          <w:sz w:val="17"/>
          <w:szCs w:val="17"/>
          <w:color w:val="auto"/>
        </w:rPr>
        <w:t>Financial Statements and Exhibits.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Exhibit 99.1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16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November 9, 2022, Fair Isaac Corporation (the “Company”) reported its financial results for the quarter ended September 30, 2022. See the Company’s press release dated November 9, 2022, which is furnished as Exhibit 99.1 hereto and incorporated by reference in this Item 2.02.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920" w:hanging="663"/>
        <w:spacing w:after="0"/>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u w:val="single" w:color="auto"/>
          <w:color w:val="auto"/>
        </w:rPr>
        <w:t>Exhibit</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2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November 9, 2022</w:t>
      </w:r>
    </w:p>
    <w:p>
      <w:pPr>
        <w:spacing w:after="0" w:line="225" w:lineRule="exact"/>
        <w:rPr>
          <w:sz w:val="20"/>
          <w:szCs w:val="20"/>
          <w:color w:val="auto"/>
        </w:rPr>
      </w:pPr>
    </w:p>
    <w:p>
      <w:pPr>
        <w:ind w:left="5580" w:right="4380" w:hanging="5572"/>
        <w:spacing w:after="0" w:line="485" w:lineRule="auto"/>
        <w:tabs>
          <w:tab w:leader="none" w:pos="102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 w:name="page4"/>
    <w:bookmarkEnd w:id="3"/>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FAIR ISAAC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MICHAEL I. MCLAUGHLIN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Michael I. McLaughlin</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9, 2022</w:t>
      </w:r>
    </w:p>
    <w:p>
      <w:pPr>
        <w:sectPr>
          <w:pgSz w:w="11900" w:h="16838" w:orient="portrait"/>
          <w:cols w:equalWidth="0" w:num="1">
            <w:col w:w="10980"/>
          </w:cols>
          <w:pgMar w:left="320" w:top="117" w:right="5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FICO Announces Earnings of $3.55 per Share for Fourth Quarter Fiscal 2022</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Revenue of $349 million vs. $335 million in prior year</w:t>
      </w:r>
    </w:p>
    <w:p>
      <w:pPr>
        <w:spacing w:after="0" w:line="18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BOZEMAN, Mont.--(BUSINESS WIRE)--November 9, 2022--FICO (NYSE:FICO), a leading predictive analytics and decision management software company, today announced results for its fourth fiscal quarter ended September 30,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Fiscal 2022 GAAP Results</w:t>
      </w:r>
    </w:p>
    <w:p>
      <w:pPr>
        <w:spacing w:after="0" w:line="202" w:lineRule="exact"/>
        <w:rPr>
          <w:sz w:val="20"/>
          <w:szCs w:val="20"/>
          <w:color w:val="auto"/>
        </w:rPr>
      </w:pPr>
    </w:p>
    <w:p>
      <w:pPr>
        <w:ind w:right="1640"/>
        <w:spacing w:after="0" w:line="459" w:lineRule="auto"/>
        <w:rPr>
          <w:sz w:val="20"/>
          <w:szCs w:val="20"/>
          <w:color w:val="auto"/>
        </w:rPr>
      </w:pPr>
      <w:r>
        <w:rPr>
          <w:rFonts w:ascii="Times New Roman" w:cs="Times New Roman" w:eastAsia="Times New Roman" w:hAnsi="Times New Roman"/>
          <w:sz w:val="18"/>
          <w:szCs w:val="18"/>
          <w:color w:val="auto"/>
        </w:rPr>
        <w:t xml:space="preserve">Net income for the quarter totaled $90.7 million, or $3.55 per share, versus $85.7 million, or $3.00 per share, in the prior year period. Net cash provided by operating activities for the quarter was $144.8 million versus $91.8 million in the prior year period. </w:t>
      </w:r>
      <w:r>
        <w:rPr>
          <w:rFonts w:ascii="Times New Roman" w:cs="Times New Roman" w:eastAsia="Times New Roman" w:hAnsi="Times New Roman"/>
          <w:sz w:val="18"/>
          <w:szCs w:val="18"/>
          <w:b w:val="1"/>
          <w:bCs w:val="1"/>
          <w:color w:val="auto"/>
        </w:rPr>
        <w:t>Fourth Quarter Fiscal 2022 Non-GAAP Results</w:t>
      </w:r>
    </w:p>
    <w:p>
      <w:pPr>
        <w:ind w:right="20"/>
        <w:spacing w:after="0" w:line="261" w:lineRule="auto"/>
        <w:rPr>
          <w:sz w:val="20"/>
          <w:szCs w:val="20"/>
          <w:color w:val="auto"/>
        </w:rPr>
      </w:pPr>
      <w:r>
        <w:rPr>
          <w:rFonts w:ascii="Times New Roman" w:cs="Times New Roman" w:eastAsia="Times New Roman" w:hAnsi="Times New Roman"/>
          <w:sz w:val="18"/>
          <w:szCs w:val="18"/>
          <w:color w:val="auto"/>
        </w:rPr>
        <w:t>Non-GAAP Net Income for the quarter was $112.5 million versus $111.9 million in the prior year period. Non-GAAP EPS for the quarter was $4.40 versus $3.92 in the prior year period. Free cash flow was $144.0 million for the current quarter versus $90.0 million in the prior year period. The Non-GAAP financial measures are described in the financial table captioned “Non-GAAP Results” and are reconciled to the corresponding GAAP results in the financial tables at the end of this release.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Fiscal 2022 GAAP 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reported revenues of $348.7 million for the quarter as compared to $334.6 million reported in the prior year period.</w:t>
      </w:r>
    </w:p>
    <w:p>
      <w:pPr>
        <w:spacing w:after="0" w:line="19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had another strong finish to a great year, posting strong growth across all our metrics,” said Will Lansing, chief executive officer. “We are also pleased to provide double-digit percentage EPS growth in our 2023 guidance, which again demonstrates the remarkable resilience of our business model even in a turbulent market.”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for the fourth quarter of fiscal 2022 for the company’s two operating segments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left="540" w:right="1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Software </w:t>
      </w:r>
      <w:r>
        <w:rPr>
          <w:rFonts w:ascii="Times New Roman" w:cs="Times New Roman" w:eastAsia="Times New Roman" w:hAnsi="Times New Roman"/>
          <w:sz w:val="18"/>
          <w:szCs w:val="18"/>
          <w:color w:val="auto"/>
        </w:rPr>
        <w:t>revenues, which include the company’s analytics and digital decisioning technology, as well as associated professional services,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$174.7 million in the fourth quarter, compared to $166.0 million in the prior year period, an increase of 5%, due to increased recurring revenue, partially offset by decreases in professional services. Software Annual Recurring Revenue was up 9% year-over-year, consisting of 52% platform ARR growth and 1% non-platform growth. Software Dollar-Based Net Retention Rate was 107% in the fourth quarter, with platform software at 128% and non-platform software at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-645795</wp:posOffset>
            </wp:positionV>
            <wp:extent cx="596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right="2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Scores </w:t>
      </w:r>
      <w:r>
        <w:rPr>
          <w:rFonts w:ascii="Times New Roman" w:cs="Times New Roman" w:eastAsia="Times New Roman" w:hAnsi="Times New Roman"/>
          <w:sz w:val="18"/>
          <w:szCs w:val="18"/>
          <w:color w:val="auto"/>
        </w:rPr>
        <w:t>revenues, which include the company’s business-to-business (B2B) scoring solutions, and business-to-consumer (B2C) scoring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$174.1 million in the fourth quarter, compared to $168.6 million in the prior year period, an increase of 3%. B2B revenue increased 6%, driven largely by unit price increases and increases in card and personal loan originations volumes, partially offset by declines in mortgage originations volumes. B2C revenue decreased 3% from the prior year period due to lower volumes at myFICO.com.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-514985</wp:posOffset>
            </wp:positionV>
            <wp:extent cx="596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providing the following guidance for fiscal 2023:</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444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45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Fiscal 2023 Guidance</w:t>
            </w:r>
          </w:p>
        </w:tc>
      </w:tr>
      <w:tr>
        <w:trPr>
          <w:trHeight w:val="220"/>
        </w:trPr>
        <w:tc>
          <w:tcPr>
            <w:tcW w:w="4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$1.475 billion</w:t>
            </w:r>
          </w:p>
        </w:tc>
      </w:tr>
      <w:tr>
        <w:trPr>
          <w:trHeight w:val="235"/>
        </w:trPr>
        <w:tc>
          <w:tcPr>
            <w:tcW w:w="4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GAAP Net Income</w:t>
            </w:r>
          </w:p>
        </w:tc>
        <w:tc>
          <w:tcPr>
            <w:tcW w:w="4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$401 million</w:t>
            </w:r>
          </w:p>
        </w:tc>
      </w:tr>
      <w:tr>
        <w:trPr>
          <w:trHeight w:val="237"/>
        </w:trPr>
        <w:tc>
          <w:tcPr>
            <w:tcW w:w="4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GAAP EPS</w:t>
            </w:r>
          </w:p>
        </w:tc>
        <w:tc>
          <w:tcPr>
            <w:tcW w:w="4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w:t>
            </w:r>
          </w:p>
        </w:tc>
      </w:tr>
      <w:tr>
        <w:trPr>
          <w:trHeight w:val="237"/>
        </w:trPr>
        <w:tc>
          <w:tcPr>
            <w:tcW w:w="4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4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$487 million</w:t>
            </w:r>
          </w:p>
        </w:tc>
      </w:tr>
      <w:tr>
        <w:trPr>
          <w:trHeight w:val="237"/>
        </w:trPr>
        <w:tc>
          <w:tcPr>
            <w:tcW w:w="4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Non-GAAP EPS</w:t>
            </w:r>
          </w:p>
        </w:tc>
        <w:tc>
          <w:tcPr>
            <w:tcW w:w="4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$19.42</w:t>
            </w:r>
          </w:p>
        </w:tc>
      </w:tr>
    </w:tbl>
    <w:p>
      <w:pPr>
        <w:spacing w:after="0" w:line="171" w:lineRule="exact"/>
        <w:rPr>
          <w:sz w:val="20"/>
          <w:szCs w:val="20"/>
          <w:color w:val="auto"/>
        </w:rPr>
      </w:pPr>
    </w:p>
    <w:p>
      <w:pPr>
        <w:ind w:right="2200"/>
        <w:spacing w:after="0" w:line="453" w:lineRule="auto"/>
        <w:rPr>
          <w:sz w:val="20"/>
          <w:szCs w:val="20"/>
          <w:color w:val="auto"/>
        </w:rPr>
      </w:pPr>
      <w:r>
        <w:rPr>
          <w:rFonts w:ascii="Times New Roman" w:cs="Times New Roman" w:eastAsia="Times New Roman" w:hAnsi="Times New Roman"/>
          <w:sz w:val="18"/>
          <w:szCs w:val="18"/>
          <w:color w:val="auto"/>
        </w:rPr>
        <w:t xml:space="preserve">The Non-GAAP financial measures are described in the financial table captioned “Reconciliation of Non-GAAP Guidance.” </w:t>
      </w:r>
      <w:r>
        <w:rPr>
          <w:rFonts w:ascii="Times New Roman" w:cs="Times New Roman" w:eastAsia="Times New Roman" w:hAnsi="Times New Roman"/>
          <w:sz w:val="18"/>
          <w:szCs w:val="18"/>
          <w:b w:val="1"/>
          <w:bCs w:val="1"/>
          <w:color w:val="auto"/>
        </w:rPr>
        <w:t>Company to Host Conference Call</w:t>
      </w:r>
    </w:p>
    <w:p>
      <w:pPr>
        <w:spacing w:after="0" w:line="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will host a webcast today at 5:00 p.m. Eastern Time (2:00 p.m. Pacific Time) to report its fourth quarter fiscal 2022 results and provide various strategic and operational updates. The call can be accessed at FICO's web site at www.fico.com/investors. A replay of the webcast will be available at our Past Events page through November 9,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FICO</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FICO (NYSE: FICO) powers decisions that help people and businesses around the world prosper. Founded in 1956, the company is a pioneer in the use of predictive analytics and data science to improve operational decisions. FICO holds more than 200 US and foreign patents on technologies that increase profitability, customer satisfaction and growth for businesses in financial services, telecommunications, health care, retail and many other industries. Using FICO solutions, businesses in more than 120 countries do everything from protecting 2.6 billion payment cards from fraud, to helping people get credit, to ensuring that millions of airplanes and rental cars are in the right place at the right time.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Learn more at http://www.fico.com</w:t>
      </w:r>
    </w:p>
    <w:p>
      <w:pPr>
        <w:spacing w:after="0" w:line="198" w:lineRule="exact"/>
        <w:rPr>
          <w:sz w:val="20"/>
          <w:szCs w:val="20"/>
          <w:color w:val="auto"/>
        </w:rPr>
      </w:pPr>
    </w:p>
    <w:p>
      <w:pPr>
        <w:ind w:right="5360"/>
        <w:spacing w:after="0" w:line="528" w:lineRule="auto"/>
        <w:rPr>
          <w:sz w:val="20"/>
          <w:szCs w:val="20"/>
          <w:color w:val="auto"/>
        </w:rPr>
      </w:pPr>
      <w:r>
        <w:rPr>
          <w:rFonts w:ascii="Times New Roman" w:cs="Times New Roman" w:eastAsia="Times New Roman" w:hAnsi="Times New Roman"/>
          <w:sz w:val="17"/>
          <w:szCs w:val="17"/>
          <w:color w:val="auto"/>
        </w:rPr>
        <w:t>Join the conversation at https://twitter.com/fico &amp; http://www.fico.com/en/blogs/ For FICO news and media resources, visit www.fico.com/news.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95"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FICO is a registered trademark of Fair Isaac Corporation in the US and other countries.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Concerning Forward-Looking Information</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Except for historical information contained herein, the statements contained in this news release that relate to FICO or its business are forward-looking statements within the meaning of the “safe harbor” provisions of the Private Securities Litigation Reform Act of 1995. These forward-looking statements are subject to risks and uncertainties that may cause actual results to differ materially, including the impact of COVID-19 on macroeconomic conditions and FICO’s business, operations and personnel, the success of the Company’s business strategy and reengineering initiative, the maintenance of its existing relationships and ability to create new relationships with customers and key alliance partners, its ability to continue to develop new and enhanced products and services, its ability to recruit and retain key technical and managerial personnel, competition, the effects of, and any changes in, laws and regulations applicable to the Company’s business or its customers, the failure to protect data privacy and security, the failure to realize the anticipated benefits of any acquisitions, or divestitures, and material adverse developments in global economic conditions or in the markets we serve. Additional information on these risks and uncertainties and other factors that could affect FICO's future results are described from time to time in FICO's SEC reports, including its Annual Report on Form 10-K for the year ended September 30, 2021 and its subsequent filings with the SEC. If any of these risks or uncertainties materializes, FICO's results could differ materially from its expectations. Investors are cautioned not to place undue reliance on any such forward-looking statements, which speak only as of the date they are made. FICO disclaims any intent or obligation to update these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97" w:right="3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50"/>
        </w:trPr>
        <w:tc>
          <w:tcPr>
            <w:tcW w:w="68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133,202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195,354</w:t>
            </w:r>
          </w:p>
        </w:tc>
        <w:tc>
          <w:tcPr>
            <w:tcW w:w="0" w:type="dxa"/>
            <w:vAlign w:val="bottom"/>
          </w:tcPr>
          <w:p>
            <w:pPr>
              <w:spacing w:after="0"/>
              <w:rPr>
                <w:sz w:val="1"/>
                <w:szCs w:val="1"/>
                <w:color w:val="auto"/>
              </w:rPr>
            </w:pPr>
          </w:p>
        </w:tc>
      </w:tr>
      <w:tr>
        <w:trPr>
          <w:trHeight w:val="243"/>
        </w:trPr>
        <w:tc>
          <w:tcPr>
            <w:tcW w:w="6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440" w:type="dxa"/>
            <w:vAlign w:val="bottom"/>
          </w:tcPr>
          <w:p>
            <w:pPr>
              <w:spacing w:after="0"/>
              <w:rPr>
                <w:sz w:val="21"/>
                <w:szCs w:val="21"/>
                <w:color w:val="auto"/>
              </w:rPr>
            </w:pPr>
          </w:p>
        </w:tc>
        <w:tc>
          <w:tcPr>
            <w:tcW w:w="1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322,410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312,107</w:t>
            </w:r>
          </w:p>
        </w:tc>
        <w:tc>
          <w:tcPr>
            <w:tcW w:w="0" w:type="dxa"/>
            <w:vAlign w:val="bottom"/>
          </w:tcPr>
          <w:p>
            <w:pPr>
              <w:spacing w:after="0"/>
              <w:rPr>
                <w:sz w:val="1"/>
                <w:szCs w:val="1"/>
                <w:color w:val="auto"/>
              </w:rPr>
            </w:pPr>
          </w:p>
        </w:tc>
      </w:tr>
      <w:tr>
        <w:trPr>
          <w:trHeight w:val="257"/>
        </w:trPr>
        <w:tc>
          <w:tcPr>
            <w:tcW w:w="6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29,103</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43,513</w:t>
            </w:r>
          </w:p>
        </w:tc>
        <w:tc>
          <w:tcPr>
            <w:tcW w:w="0" w:type="dxa"/>
            <w:vAlign w:val="bottom"/>
          </w:tcPr>
          <w:p>
            <w:pPr>
              <w:spacing w:after="0"/>
              <w:rPr>
                <w:sz w:val="1"/>
                <w:szCs w:val="1"/>
                <w:color w:val="auto"/>
              </w:rPr>
            </w:pPr>
          </w:p>
        </w:tc>
      </w:tr>
      <w:tr>
        <w:trPr>
          <w:trHeight w:val="237"/>
        </w:trPr>
        <w:tc>
          <w:tcPr>
            <w:tcW w:w="6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assets</w:t>
            </w:r>
          </w:p>
        </w:tc>
        <w:tc>
          <w:tcPr>
            <w:tcW w:w="4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484,715</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550,974</w:t>
            </w:r>
          </w:p>
        </w:tc>
        <w:tc>
          <w:tcPr>
            <w:tcW w:w="0" w:type="dxa"/>
            <w:vAlign w:val="bottom"/>
          </w:tcPr>
          <w:p>
            <w:pPr>
              <w:spacing w:after="0"/>
              <w:rPr>
                <w:sz w:val="1"/>
                <w:szCs w:val="1"/>
                <w:color w:val="auto"/>
              </w:rPr>
            </w:pPr>
          </w:p>
        </w:tc>
      </w:tr>
      <w:tr>
        <w:trPr>
          <w:trHeight w:val="46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 and investments</w:t>
            </w:r>
          </w:p>
        </w:tc>
        <w:tc>
          <w:tcPr>
            <w:tcW w:w="440" w:type="dxa"/>
            <w:vAlign w:val="bottom"/>
          </w:tcPr>
          <w:p>
            <w:pPr>
              <w:spacing w:after="0"/>
              <w:rPr>
                <w:sz w:val="24"/>
                <w:szCs w:val="24"/>
                <w:color w:val="auto"/>
              </w:rPr>
            </w:pPr>
          </w:p>
        </w:tc>
        <w:tc>
          <w:tcPr>
            <w:tcW w:w="1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25,650</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33,196</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0" w:type="dxa"/>
            <w:vAlign w:val="bottom"/>
          </w:tcPr>
          <w:p>
            <w:pPr>
              <w:spacing w:after="0"/>
              <w:rPr>
                <w:sz w:val="21"/>
                <w:szCs w:val="21"/>
                <w:color w:val="auto"/>
              </w:rPr>
            </w:pPr>
          </w:p>
        </w:tc>
        <w:tc>
          <w:tcPr>
            <w:tcW w:w="1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17,580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27,913</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right-of-use-assets</w:t>
            </w:r>
          </w:p>
        </w:tc>
        <w:tc>
          <w:tcPr>
            <w:tcW w:w="440" w:type="dxa"/>
            <w:vAlign w:val="bottom"/>
          </w:tcPr>
          <w:p>
            <w:pPr>
              <w:spacing w:after="0"/>
              <w:rPr>
                <w:sz w:val="21"/>
                <w:szCs w:val="21"/>
                <w:color w:val="auto"/>
              </w:rPr>
            </w:pPr>
          </w:p>
        </w:tc>
        <w:tc>
          <w:tcPr>
            <w:tcW w:w="1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36,688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47,275</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440" w:type="dxa"/>
            <w:vAlign w:val="bottom"/>
          </w:tcPr>
          <w:p>
            <w:pPr>
              <w:spacing w:after="0"/>
              <w:rPr>
                <w:sz w:val="21"/>
                <w:szCs w:val="21"/>
                <w:color w:val="auto"/>
              </w:rPr>
            </w:pPr>
          </w:p>
        </w:tc>
        <w:tc>
          <w:tcPr>
            <w:tcW w:w="1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763,084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792,284</w:t>
            </w:r>
          </w:p>
        </w:tc>
        <w:tc>
          <w:tcPr>
            <w:tcW w:w="0" w:type="dxa"/>
            <w:vAlign w:val="bottom"/>
          </w:tcPr>
          <w:p>
            <w:pPr>
              <w:spacing w:after="0"/>
              <w:rPr>
                <w:sz w:val="1"/>
                <w:szCs w:val="1"/>
                <w:color w:val="auto"/>
              </w:rPr>
            </w:pPr>
          </w:p>
        </w:tc>
      </w:tr>
      <w:tr>
        <w:trPr>
          <w:trHeight w:val="25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114,317</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116,134</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p>
        </w:tc>
        <w:tc>
          <w:tcPr>
            <w:tcW w:w="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1,442,034</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1,567,776</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4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8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83,521</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100,284</w:t>
            </w:r>
          </w:p>
        </w:tc>
        <w:tc>
          <w:tcPr>
            <w:tcW w:w="0" w:type="dxa"/>
            <w:vAlign w:val="bottom"/>
          </w:tcPr>
          <w:p>
            <w:pPr>
              <w:spacing w:after="0"/>
              <w:rPr>
                <w:sz w:val="1"/>
                <w:szCs w:val="1"/>
                <w:color w:val="auto"/>
              </w:rPr>
            </w:pPr>
          </w:p>
        </w:tc>
      </w:tr>
      <w:tr>
        <w:trPr>
          <w:trHeight w:val="243"/>
        </w:trPr>
        <w:tc>
          <w:tcPr>
            <w:tcW w:w="6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compensation and employee benefits</w:t>
            </w:r>
          </w:p>
        </w:tc>
        <w:tc>
          <w:tcPr>
            <w:tcW w:w="440" w:type="dxa"/>
            <w:vAlign w:val="bottom"/>
          </w:tcPr>
          <w:p>
            <w:pPr>
              <w:spacing w:after="0"/>
              <w:rPr>
                <w:sz w:val="21"/>
                <w:szCs w:val="21"/>
                <w:color w:val="auto"/>
              </w:rPr>
            </w:pPr>
          </w:p>
        </w:tc>
        <w:tc>
          <w:tcPr>
            <w:tcW w:w="1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97,893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103,506</w:t>
            </w:r>
          </w:p>
        </w:tc>
        <w:tc>
          <w:tcPr>
            <w:tcW w:w="0" w:type="dxa"/>
            <w:vAlign w:val="bottom"/>
          </w:tcPr>
          <w:p>
            <w:pPr>
              <w:spacing w:after="0"/>
              <w:rPr>
                <w:sz w:val="1"/>
                <w:szCs w:val="1"/>
                <w:color w:val="auto"/>
              </w:rPr>
            </w:pPr>
          </w:p>
        </w:tc>
      </w:tr>
      <w:tr>
        <w:trPr>
          <w:trHeight w:val="243"/>
        </w:trPr>
        <w:tc>
          <w:tcPr>
            <w:tcW w:w="6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440" w:type="dxa"/>
            <w:vAlign w:val="bottom"/>
          </w:tcPr>
          <w:p>
            <w:pPr>
              <w:spacing w:after="0"/>
              <w:rPr>
                <w:sz w:val="21"/>
                <w:szCs w:val="21"/>
                <w:color w:val="auto"/>
              </w:rPr>
            </w:pPr>
          </w:p>
        </w:tc>
        <w:tc>
          <w:tcPr>
            <w:tcW w:w="1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120,045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105,417</w:t>
            </w:r>
          </w:p>
        </w:tc>
        <w:tc>
          <w:tcPr>
            <w:tcW w:w="0" w:type="dxa"/>
            <w:vAlign w:val="bottom"/>
          </w:tcPr>
          <w:p>
            <w:pPr>
              <w:spacing w:after="0"/>
              <w:rPr>
                <w:sz w:val="1"/>
                <w:szCs w:val="1"/>
                <w:color w:val="auto"/>
              </w:rPr>
            </w:pPr>
          </w:p>
        </w:tc>
      </w:tr>
      <w:tr>
        <w:trPr>
          <w:trHeight w:val="256"/>
        </w:trPr>
        <w:tc>
          <w:tcPr>
            <w:tcW w:w="6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maturities on debt</w:t>
            </w:r>
          </w:p>
        </w:tc>
        <w:tc>
          <w:tcPr>
            <w:tcW w:w="4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37"/>
        </w:trPr>
        <w:tc>
          <w:tcPr>
            <w:tcW w:w="6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331,459</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559,207</w:t>
            </w:r>
          </w:p>
        </w:tc>
        <w:tc>
          <w:tcPr>
            <w:tcW w:w="0" w:type="dxa"/>
            <w:vAlign w:val="bottom"/>
          </w:tcPr>
          <w:p>
            <w:pPr>
              <w:spacing w:after="0"/>
              <w:rPr>
                <w:sz w:val="1"/>
                <w:szCs w:val="1"/>
                <w:color w:val="auto"/>
              </w:rPr>
            </w:pPr>
          </w:p>
        </w:tc>
      </w:tr>
      <w:tr>
        <w:trPr>
          <w:trHeight w:val="46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440" w:type="dxa"/>
            <w:vAlign w:val="bottom"/>
          </w:tcPr>
          <w:p>
            <w:pPr>
              <w:spacing w:after="0"/>
              <w:rPr>
                <w:sz w:val="24"/>
                <w:szCs w:val="24"/>
                <w:color w:val="auto"/>
              </w:rPr>
            </w:pPr>
          </w:p>
        </w:tc>
        <w:tc>
          <w:tcPr>
            <w:tcW w:w="1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1,823,669</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1,009,018</w:t>
            </w:r>
          </w:p>
        </w:tc>
        <w:tc>
          <w:tcPr>
            <w:tcW w:w="0" w:type="dxa"/>
            <w:vAlign w:val="bottom"/>
          </w:tcPr>
          <w:p>
            <w:pPr>
              <w:spacing w:after="0"/>
              <w:rPr>
                <w:sz w:val="1"/>
                <w:szCs w:val="1"/>
                <w:color w:val="auto"/>
              </w:rPr>
            </w:pPr>
          </w:p>
        </w:tc>
      </w:tr>
      <w:tr>
        <w:trPr>
          <w:trHeight w:val="243"/>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40" w:type="dxa"/>
            <w:vAlign w:val="bottom"/>
          </w:tcPr>
          <w:p>
            <w:pPr>
              <w:spacing w:after="0"/>
              <w:rPr>
                <w:sz w:val="21"/>
                <w:szCs w:val="21"/>
                <w:color w:val="auto"/>
              </w:rPr>
            </w:pPr>
          </w:p>
        </w:tc>
        <w:tc>
          <w:tcPr>
            <w:tcW w:w="1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39,192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53,670</w:t>
            </w:r>
          </w:p>
        </w:tc>
        <w:tc>
          <w:tcPr>
            <w:tcW w:w="0" w:type="dxa"/>
            <w:vAlign w:val="bottom"/>
          </w:tcPr>
          <w:p>
            <w:pPr>
              <w:spacing w:after="0"/>
              <w:rPr>
                <w:sz w:val="1"/>
                <w:szCs w:val="1"/>
                <w:color w:val="auto"/>
              </w:rPr>
            </w:pPr>
          </w:p>
        </w:tc>
      </w:tr>
      <w:tr>
        <w:trPr>
          <w:trHeight w:val="25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49,661</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56,823</w:t>
            </w:r>
          </w:p>
        </w:tc>
        <w:tc>
          <w:tcPr>
            <w:tcW w:w="0" w:type="dxa"/>
            <w:vAlign w:val="bottom"/>
          </w:tcPr>
          <w:p>
            <w:pPr>
              <w:spacing w:after="0"/>
              <w:rPr>
                <w:sz w:val="1"/>
                <w:szCs w:val="1"/>
                <w:color w:val="auto"/>
              </w:rPr>
            </w:pPr>
          </w:p>
        </w:tc>
      </w:tr>
      <w:tr>
        <w:trPr>
          <w:trHeight w:val="236"/>
        </w:trPr>
        <w:tc>
          <w:tcPr>
            <w:tcW w:w="6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liabilities</w:t>
            </w:r>
          </w:p>
        </w:tc>
        <w:tc>
          <w:tcPr>
            <w:tcW w:w="4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2,243,981</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1,678,718</w:t>
            </w:r>
          </w:p>
        </w:tc>
        <w:tc>
          <w:tcPr>
            <w:tcW w:w="0" w:type="dxa"/>
            <w:vAlign w:val="bottom"/>
          </w:tcPr>
          <w:p>
            <w:pPr>
              <w:spacing w:after="0"/>
              <w:rPr>
                <w:sz w:val="1"/>
                <w:szCs w:val="1"/>
                <w:color w:val="auto"/>
              </w:rPr>
            </w:pPr>
          </w:p>
        </w:tc>
      </w:tr>
      <w:tr>
        <w:trPr>
          <w:trHeight w:val="48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4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(801,947)</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(110,942)</w:t>
            </w:r>
          </w:p>
        </w:tc>
        <w:tc>
          <w:tcPr>
            <w:tcW w:w="0" w:type="dxa"/>
            <w:vAlign w:val="bottom"/>
          </w:tcPr>
          <w:p>
            <w:pPr>
              <w:spacing w:after="0"/>
              <w:rPr>
                <w:sz w:val="1"/>
                <w:szCs w:val="1"/>
                <w:color w:val="auto"/>
              </w:rPr>
            </w:pPr>
          </w:p>
        </w:tc>
      </w:tr>
      <w:tr>
        <w:trPr>
          <w:trHeight w:val="232"/>
        </w:trPr>
        <w:tc>
          <w:tcPr>
            <w:tcW w:w="6860" w:type="dxa"/>
            <w:vAlign w:val="bottom"/>
          </w:tcPr>
          <w:p>
            <w:pPr>
              <w:spacing w:after="0"/>
              <w:rPr>
                <w:sz w:val="20"/>
                <w:szCs w:val="20"/>
                <w:color w:val="auto"/>
              </w:rPr>
            </w:pPr>
          </w:p>
        </w:tc>
        <w:tc>
          <w:tcPr>
            <w:tcW w:w="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1,442,034</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1,567,776</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40" w:type="dxa"/>
            <w:vAlign w:val="bottom"/>
          </w:tcPr>
          <w:p>
            <w:pPr>
              <w:spacing w:after="0"/>
              <w:rPr>
                <w:sz w:val="20"/>
                <w:szCs w:val="20"/>
                <w:color w:val="auto"/>
              </w:rPr>
            </w:pPr>
          </w:p>
        </w:tc>
      </w:tr>
      <w:tr>
        <w:trPr>
          <w:trHeight w:val="250"/>
        </w:trPr>
        <w:tc>
          <w:tcPr>
            <w:tcW w:w="57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1"/>
                <w:szCs w:val="21"/>
                <w:color w:val="auto"/>
              </w:rPr>
            </w:pPr>
          </w:p>
        </w:tc>
      </w:tr>
      <w:tr>
        <w:trPr>
          <w:trHeight w:val="238"/>
        </w:trPr>
        <w:tc>
          <w:tcPr>
            <w:tcW w:w="5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8"/>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3"/>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On-premises and SaaS software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146,788</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135,652</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564,751</w:t>
            </w:r>
          </w:p>
        </w:tc>
        <w:tc>
          <w:tcPr>
            <w:tcW w:w="6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517,888</w:t>
            </w:r>
          </w:p>
        </w:tc>
      </w:tr>
      <w:tr>
        <w:trPr>
          <w:trHeight w:val="243"/>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Professional services</w:t>
            </w:r>
          </w:p>
        </w:tc>
        <w:tc>
          <w:tcPr>
            <w:tcW w:w="160" w:type="dxa"/>
            <w:vAlign w:val="bottom"/>
          </w:tcPr>
          <w:p>
            <w:pPr>
              <w:spacing w:after="0"/>
              <w:rPr>
                <w:sz w:val="21"/>
                <w:szCs w:val="21"/>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27,901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30,350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105,876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144,501</w:t>
            </w:r>
          </w:p>
        </w:tc>
      </w:tr>
      <w:tr>
        <w:trPr>
          <w:trHeight w:val="256"/>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Scores</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174,059</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168,575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706,643</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654,147</w:t>
            </w:r>
          </w:p>
        </w:tc>
      </w:tr>
      <w:tr>
        <w:trPr>
          <w:trHeight w:val="237"/>
        </w:trPr>
        <w:tc>
          <w:tcPr>
            <w:tcW w:w="5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348,748</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334,577</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1,377,270</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7"/>
              </w:rPr>
              <w:t>1,316,536</w:t>
            </w:r>
          </w:p>
        </w:tc>
      </w:tr>
      <w:tr>
        <w:trPr>
          <w:trHeight w:val="46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3"/>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spacing w:after="0"/>
              <w:rPr>
                <w:sz w:val="21"/>
                <w:szCs w:val="21"/>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82,486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72,361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302,174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332,462</w:t>
            </w:r>
          </w:p>
        </w:tc>
      </w:tr>
      <w:tr>
        <w:trPr>
          <w:trHeight w:val="243"/>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&amp; development</w:t>
            </w:r>
          </w:p>
        </w:tc>
        <w:tc>
          <w:tcPr>
            <w:tcW w:w="160" w:type="dxa"/>
            <w:vAlign w:val="bottom"/>
          </w:tcPr>
          <w:p>
            <w:pPr>
              <w:spacing w:after="0"/>
              <w:rPr>
                <w:sz w:val="21"/>
                <w:szCs w:val="21"/>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35,511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41,142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146,758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171,231</w:t>
            </w:r>
          </w:p>
        </w:tc>
      </w:tr>
      <w:tr>
        <w:trPr>
          <w:trHeight w:val="243"/>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21"/>
                <w:szCs w:val="21"/>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96,153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97,369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383,863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396,281</w:t>
            </w:r>
          </w:p>
        </w:tc>
      </w:tr>
      <w:tr>
        <w:trPr>
          <w:trHeight w:val="243"/>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tcPr>
          <w:p>
            <w:pPr>
              <w:spacing w:after="0"/>
              <w:rPr>
                <w:sz w:val="21"/>
                <w:szCs w:val="21"/>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2,061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3,255</w:t>
            </w:r>
          </w:p>
        </w:tc>
      </w:tr>
      <w:tr>
        <w:trPr>
          <w:trHeight w:val="243"/>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and impairment charges</w:t>
            </w:r>
          </w:p>
        </w:tc>
        <w:tc>
          <w:tcPr>
            <w:tcW w:w="160" w:type="dxa"/>
            <w:vAlign w:val="bottom"/>
          </w:tcPr>
          <w:p>
            <w:pPr>
              <w:spacing w:after="0"/>
              <w:rPr>
                <w:sz w:val="21"/>
                <w:szCs w:val="21"/>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7,957</w:t>
            </w:r>
          </w:p>
        </w:tc>
      </w:tr>
      <w:tr>
        <w:trPr>
          <w:trHeight w:val="257"/>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Gains on product line asset sales and business divestiture</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(100,139)</w:t>
            </w:r>
          </w:p>
        </w:tc>
      </w:tr>
      <w:tr>
        <w:trPr>
          <w:trHeight w:val="237"/>
        </w:trPr>
        <w:tc>
          <w:tcPr>
            <w:tcW w:w="5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214,592</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219,392</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834,856</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811,047</w:t>
            </w:r>
          </w:p>
        </w:tc>
      </w:tr>
      <w:tr>
        <w:trPr>
          <w:trHeight w:val="228"/>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134,156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115,185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542,414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505,489</w:t>
            </w:r>
          </w:p>
        </w:tc>
      </w:tr>
      <w:tr>
        <w:trPr>
          <w:trHeight w:val="252"/>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(21,046)</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(9,719)</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(71,105)</w:t>
            </w: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(32,347)</w:t>
            </w:r>
          </w:p>
        </w:tc>
      </w:tr>
      <w:tr>
        <w:trPr>
          <w:trHeight w:val="228"/>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19"/>
                <w:szCs w:val="19"/>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113,110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105,466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471,309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473,142</w:t>
            </w:r>
          </w:p>
        </w:tc>
      </w:tr>
      <w:tr>
        <w:trPr>
          <w:trHeight w:val="252"/>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22,411</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19,746</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97,768</w:t>
            </w: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81,058</w:t>
            </w:r>
          </w:p>
        </w:tc>
      </w:tr>
      <w:tr>
        <w:trPr>
          <w:trHeight w:val="237"/>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90,699</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85,720</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373,541</w:t>
            </w:r>
          </w:p>
        </w:tc>
        <w:tc>
          <w:tcPr>
            <w:tcW w:w="100" w:type="dxa"/>
            <w:vAlign w:val="bottom"/>
          </w:tcPr>
          <w:p>
            <w:pPr>
              <w:spacing w:after="0"/>
              <w:rPr>
                <w:sz w:val="20"/>
                <w:szCs w:val="20"/>
                <w:color w:val="auto"/>
              </w:rPr>
            </w:pPr>
          </w:p>
        </w:tc>
        <w:tc>
          <w:tcPr>
            <w:tcW w:w="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392,084</w:t>
            </w:r>
          </w:p>
        </w:tc>
      </w:tr>
      <w:tr>
        <w:trPr>
          <w:trHeight w:val="20"/>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3.60</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3.06</w:t>
            </w:r>
          </w:p>
        </w:tc>
        <w:tc>
          <w:tcPr>
            <w:tcW w:w="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14.34</w:t>
            </w:r>
          </w:p>
        </w:tc>
        <w:tc>
          <w:tcPr>
            <w:tcW w:w="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13.65</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13.40</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 used in computing earnings per share:</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7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25,221</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28,043</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26,042</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28,734</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25,573</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28,531</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26,347</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29,260</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40" w:type="dxa"/>
            <w:vAlign w:val="bottom"/>
          </w:tcPr>
          <w:p>
            <w:pPr>
              <w:spacing w:after="0"/>
              <w:rPr>
                <w:sz w:val="20"/>
                <w:szCs w:val="20"/>
                <w:color w:val="auto"/>
              </w:rPr>
            </w:pPr>
          </w:p>
        </w:tc>
      </w:tr>
      <w:tr>
        <w:trPr>
          <w:trHeight w:val="250"/>
        </w:trPr>
        <w:tc>
          <w:tcPr>
            <w:tcW w:w="8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1"/>
                <w:szCs w:val="21"/>
                <w:color w:val="auto"/>
              </w:rPr>
            </w:pPr>
          </w:p>
        </w:tc>
      </w:tr>
      <w:tr>
        <w:trPr>
          <w:trHeight w:val="238"/>
        </w:trPr>
        <w:tc>
          <w:tcPr>
            <w:tcW w:w="8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8"/>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3"/>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373,541</w:t>
            </w:r>
          </w:p>
        </w:tc>
        <w:tc>
          <w:tcPr>
            <w:tcW w:w="6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392,084</w:t>
            </w:r>
          </w:p>
        </w:tc>
      </w:tr>
      <w:tr>
        <w:trPr>
          <w:trHeight w:val="243"/>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3"/>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20,465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25,592</w:t>
            </w:r>
          </w:p>
        </w:tc>
      </w:tr>
      <w:tr>
        <w:trPr>
          <w:trHeight w:val="243"/>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42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115,355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112,457</w:t>
            </w:r>
          </w:p>
        </w:tc>
      </w:tr>
      <w:tr>
        <w:trPr>
          <w:trHeight w:val="243"/>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2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(35,911)</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(12,740)</w:t>
            </w:r>
          </w:p>
        </w:tc>
      </w:tr>
      <w:tr>
        <w:trPr>
          <w:trHeight w:val="243"/>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Gains on product line asset sales and business divestiture</w:t>
            </w:r>
          </w:p>
        </w:tc>
        <w:tc>
          <w:tcPr>
            <w:tcW w:w="42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(100,139)</w:t>
            </w:r>
          </w:p>
        </w:tc>
      </w:tr>
      <w:tr>
        <w:trPr>
          <w:trHeight w:val="257"/>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36,000</w:t>
            </w:r>
          </w:p>
        </w:tc>
        <w:tc>
          <w:tcPr>
            <w:tcW w:w="2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6,563</w:t>
            </w:r>
          </w:p>
        </w:tc>
      </w:tr>
      <w:tr>
        <w:trPr>
          <w:trHeight w:val="237"/>
        </w:trPr>
        <w:tc>
          <w:tcPr>
            <w:tcW w:w="8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509,450</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423,817</w:t>
            </w:r>
          </w:p>
        </w:tc>
      </w:tr>
      <w:tr>
        <w:trPr>
          <w:trHeight w:val="466"/>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3"/>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2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(6,029)</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(7,569)</w:t>
            </w:r>
          </w:p>
        </w:tc>
      </w:tr>
      <w:tr>
        <w:trPr>
          <w:trHeight w:val="243"/>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Net activity from marketable securities</w:t>
            </w:r>
          </w:p>
        </w:tc>
        <w:tc>
          <w:tcPr>
            <w:tcW w:w="42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(1,900)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(1,802)</w:t>
            </w:r>
          </w:p>
        </w:tc>
      </w:tr>
      <w:tr>
        <w:trPr>
          <w:trHeight w:val="243"/>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product line asset sales and business divestiture</w:t>
            </w:r>
          </w:p>
        </w:tc>
        <w:tc>
          <w:tcPr>
            <w:tcW w:w="42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2,258</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147,431</w:t>
            </w:r>
          </w:p>
        </w:tc>
      </w:tr>
      <w:tr>
        <w:trPr>
          <w:trHeight w:val="25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(210)</w:t>
            </w:r>
          </w:p>
        </w:tc>
      </w:tr>
      <w:tr>
        <w:trPr>
          <w:trHeight w:val="237"/>
        </w:trPr>
        <w:tc>
          <w:tcPr>
            <w:tcW w:w="8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(5,671)</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137,850</w:t>
            </w:r>
          </w:p>
        </w:tc>
      </w:tr>
      <w:tr>
        <w:trPr>
          <w:trHeight w:val="466"/>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3"/>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revolving line of credit and term loan</w:t>
            </w:r>
          </w:p>
        </w:tc>
        <w:tc>
          <w:tcPr>
            <w:tcW w:w="42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1,039,000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682,000</w:t>
            </w:r>
          </w:p>
        </w:tc>
      </w:tr>
      <w:tr>
        <w:trPr>
          <w:trHeight w:val="243"/>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Payments on revolving line of credit and term loan</w:t>
            </w:r>
          </w:p>
        </w:tc>
        <w:tc>
          <w:tcPr>
            <w:tcW w:w="42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(988,250)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(259,000)</w:t>
            </w:r>
          </w:p>
        </w:tc>
      </w:tr>
      <w:tr>
        <w:trPr>
          <w:trHeight w:val="243"/>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senior notes</w:t>
            </w:r>
          </w:p>
        </w:tc>
        <w:tc>
          <w:tcPr>
            <w:tcW w:w="42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550,000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treasury stock under employee stock plans</w:t>
            </w:r>
          </w:p>
        </w:tc>
        <w:tc>
          <w:tcPr>
            <w:tcW w:w="42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16,026</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20,881</w:t>
            </w:r>
          </w:p>
        </w:tc>
      </w:tr>
      <w:tr>
        <w:trPr>
          <w:trHeight w:val="243"/>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42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(50,942)</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(91,609)</w:t>
            </w:r>
          </w:p>
        </w:tc>
      </w:tr>
      <w:tr>
        <w:trPr>
          <w:trHeight w:val="243"/>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42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(1,104,180)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(874,179)</w:t>
            </w:r>
          </w:p>
        </w:tc>
      </w:tr>
      <w:tr>
        <w:trPr>
          <w:trHeight w:val="25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(8,819)</w:t>
            </w:r>
          </w:p>
        </w:tc>
        <w:tc>
          <w:tcPr>
            <w:tcW w:w="2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(1,664)</w:t>
            </w:r>
          </w:p>
        </w:tc>
      </w:tr>
      <w:tr>
        <w:trPr>
          <w:trHeight w:val="236"/>
        </w:trPr>
        <w:tc>
          <w:tcPr>
            <w:tcW w:w="81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(547,165)</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(523,571)</w:t>
            </w:r>
          </w:p>
        </w:tc>
      </w:tr>
      <w:tr>
        <w:trPr>
          <w:trHeight w:val="473"/>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4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(18,766)</w:t>
            </w:r>
          </w:p>
        </w:tc>
        <w:tc>
          <w:tcPr>
            <w:tcW w:w="2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(136)</w:t>
            </w:r>
          </w:p>
        </w:tc>
      </w:tr>
      <w:tr>
        <w:trPr>
          <w:trHeight w:val="473"/>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420" w:type="dxa"/>
            <w:vAlign w:val="bottom"/>
          </w:tcPr>
          <w:p>
            <w:pPr>
              <w:spacing w:after="0"/>
              <w:rPr>
                <w:sz w:val="24"/>
                <w:szCs w:val="24"/>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(62,152)</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37,960</w:t>
            </w:r>
          </w:p>
        </w:tc>
      </w:tr>
      <w:tr>
        <w:trPr>
          <w:trHeight w:val="250"/>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4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195,354</w:t>
            </w:r>
          </w:p>
        </w:tc>
        <w:tc>
          <w:tcPr>
            <w:tcW w:w="2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157,394</w:t>
            </w:r>
          </w:p>
        </w:tc>
      </w:tr>
      <w:tr>
        <w:trPr>
          <w:trHeight w:val="239"/>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133,202</w:t>
            </w:r>
          </w:p>
        </w:tc>
        <w:tc>
          <w:tcPr>
            <w:tcW w:w="220" w:type="dxa"/>
            <w:vAlign w:val="bottom"/>
          </w:tcPr>
          <w:p>
            <w:pPr>
              <w:spacing w:after="0"/>
              <w:rPr>
                <w:sz w:val="20"/>
                <w:szCs w:val="20"/>
                <w:color w:val="auto"/>
              </w:rPr>
            </w:pP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195,354</w:t>
            </w:r>
          </w:p>
        </w:tc>
      </w:tr>
      <w:tr>
        <w:trPr>
          <w:trHeight w:val="20"/>
        </w:trPr>
        <w:tc>
          <w:tcPr>
            <w:tcW w:w="8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67"/>
        </w:trPr>
        <w:tc>
          <w:tcPr>
            <w:tcW w:w="8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3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FAIR ISAAC CORPORATION</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RESULTS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00" w:type="dxa"/>
            <w:vAlign w:val="bottom"/>
          </w:tcPr>
          <w:p>
            <w:pPr>
              <w:spacing w:after="0"/>
              <w:rPr>
                <w:sz w:val="20"/>
                <w:szCs w:val="20"/>
                <w:color w:val="auto"/>
              </w:rPr>
            </w:pPr>
          </w:p>
        </w:tc>
      </w:tr>
      <w:tr>
        <w:trPr>
          <w:trHeight w:val="250"/>
        </w:trPr>
        <w:tc>
          <w:tcPr>
            <w:tcW w:w="57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1"/>
        </w:trPr>
        <w:tc>
          <w:tcPr>
            <w:tcW w:w="5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468"/>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90,699</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85,720</w:t>
            </w:r>
          </w:p>
        </w:tc>
        <w:tc>
          <w:tcPr>
            <w:tcW w:w="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373,541</w:t>
            </w:r>
          </w:p>
        </w:tc>
        <w:tc>
          <w:tcPr>
            <w:tcW w:w="6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392,084</w:t>
            </w:r>
          </w:p>
        </w:tc>
      </w:tr>
      <w:tr>
        <w:trPr>
          <w:trHeight w:val="243"/>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563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2,061</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3,255</w:t>
            </w:r>
          </w:p>
        </w:tc>
      </w:tr>
      <w:tr>
        <w:trPr>
          <w:trHeight w:val="243"/>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and impairment charges</w:t>
            </w:r>
          </w:p>
        </w:tc>
        <w:tc>
          <w:tcPr>
            <w:tcW w:w="2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7,957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7,957</w:t>
            </w:r>
          </w:p>
        </w:tc>
      </w:tr>
      <w:tr>
        <w:trPr>
          <w:trHeight w:val="243"/>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Gains on product line asset sales and business divestiture</w:t>
            </w:r>
          </w:p>
        </w:tc>
        <w:tc>
          <w:tcPr>
            <w:tcW w:w="2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(100,139)</w:t>
            </w:r>
          </w:p>
        </w:tc>
      </w:tr>
      <w:tr>
        <w:trPr>
          <w:trHeight w:val="243"/>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28,991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28,358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115,354</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112,457</w:t>
            </w:r>
          </w:p>
        </w:tc>
      </w:tr>
      <w:tr>
        <w:trPr>
          <w:trHeight w:val="243"/>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adjustments</w:t>
            </w:r>
          </w:p>
        </w:tc>
        <w:tc>
          <w:tcPr>
            <w:tcW w:w="2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(7,043)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(8,724)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(28,055)</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(9,090)</w:t>
            </w:r>
          </w:p>
        </w:tc>
      </w:tr>
      <w:tr>
        <w:trPr>
          <w:trHeight w:val="257"/>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Excess tax benefit</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(1,925)</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(9,125)</w:t>
            </w:r>
          </w:p>
        </w:tc>
        <w:tc>
          <w:tcPr>
            <w:tcW w:w="2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(23,998)</w:t>
            </w:r>
          </w:p>
        </w:tc>
      </w:tr>
      <w:tr>
        <w:trPr>
          <w:trHeight w:val="236"/>
        </w:trPr>
        <w:tc>
          <w:tcPr>
            <w:tcW w:w="5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Non-GAAP net income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112,494</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111,949</w:t>
            </w:r>
          </w:p>
        </w:tc>
        <w:tc>
          <w:tcPr>
            <w:tcW w:w="220" w:type="dxa"/>
            <w:vAlign w:val="bottom"/>
          </w:tcPr>
          <w:p>
            <w:pPr>
              <w:spacing w:after="0"/>
              <w:rPr>
                <w:sz w:val="20"/>
                <w:szCs w:val="20"/>
                <w:color w:val="auto"/>
              </w:rPr>
            </w:pP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453,776</w:t>
            </w:r>
          </w:p>
        </w:tc>
        <w:tc>
          <w:tcPr>
            <w:tcW w:w="220" w:type="dxa"/>
            <w:vAlign w:val="bottom"/>
          </w:tcPr>
          <w:p>
            <w:pPr>
              <w:spacing w:after="0"/>
              <w:rPr>
                <w:sz w:val="20"/>
                <w:szCs w:val="20"/>
                <w:color w:val="auto"/>
              </w:rPr>
            </w:pPr>
          </w:p>
        </w:tc>
        <w:tc>
          <w:tcPr>
            <w:tcW w:w="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382,526</w:t>
            </w:r>
          </w:p>
        </w:tc>
      </w:tr>
      <w:tr>
        <w:trPr>
          <w:trHeight w:val="70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GAAP diluted earnings per share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3.55</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3.00</w:t>
            </w:r>
          </w:p>
        </w:tc>
        <w:tc>
          <w:tcPr>
            <w:tcW w:w="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14.18</w:t>
            </w:r>
          </w:p>
        </w:tc>
        <w:tc>
          <w:tcPr>
            <w:tcW w:w="6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13.40</w:t>
            </w:r>
          </w:p>
        </w:tc>
      </w:tr>
      <w:tr>
        <w:trPr>
          <w:trHeight w:val="243"/>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0.11</w:t>
            </w:r>
          </w:p>
        </w:tc>
      </w:tr>
      <w:tr>
        <w:trPr>
          <w:trHeight w:val="243"/>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and impairment charges</w:t>
            </w:r>
          </w:p>
        </w:tc>
        <w:tc>
          <w:tcPr>
            <w:tcW w:w="2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0.27</w:t>
            </w:r>
          </w:p>
        </w:tc>
      </w:tr>
      <w:tr>
        <w:trPr>
          <w:trHeight w:val="243"/>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Gains on product line asset sales and business divestiture</w:t>
            </w:r>
          </w:p>
        </w:tc>
        <w:tc>
          <w:tcPr>
            <w:tcW w:w="2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(3.42)</w:t>
            </w:r>
          </w:p>
        </w:tc>
      </w:tr>
      <w:tr>
        <w:trPr>
          <w:trHeight w:val="243"/>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0.99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3.84</w:t>
            </w:r>
          </w:p>
        </w:tc>
      </w:tr>
      <w:tr>
        <w:trPr>
          <w:trHeight w:val="243"/>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adjustments</w:t>
            </w:r>
          </w:p>
        </w:tc>
        <w:tc>
          <w:tcPr>
            <w:tcW w:w="2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(0.31)</w:t>
            </w:r>
          </w:p>
        </w:tc>
      </w:tr>
      <w:tr>
        <w:trPr>
          <w:trHeight w:val="256"/>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Excess tax benefit</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(0.35)</w:t>
            </w:r>
          </w:p>
        </w:tc>
        <w:tc>
          <w:tcPr>
            <w:tcW w:w="2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(0.82)</w:t>
            </w:r>
          </w:p>
        </w:tc>
      </w:tr>
      <w:tr>
        <w:trPr>
          <w:trHeight w:val="237"/>
        </w:trPr>
        <w:tc>
          <w:tcPr>
            <w:tcW w:w="5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Non-GAAP diluted earnings per share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3.92</w:t>
            </w:r>
          </w:p>
        </w:tc>
        <w:tc>
          <w:tcPr>
            <w:tcW w:w="220" w:type="dxa"/>
            <w:vAlign w:val="bottom"/>
          </w:tcPr>
          <w:p>
            <w:pPr>
              <w:spacing w:after="0"/>
              <w:rPr>
                <w:sz w:val="20"/>
                <w:szCs w:val="20"/>
                <w:color w:val="auto"/>
              </w:rPr>
            </w:pP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17.22</w:t>
            </w:r>
          </w:p>
        </w:tc>
        <w:tc>
          <w:tcPr>
            <w:tcW w:w="220" w:type="dxa"/>
            <w:vAlign w:val="bottom"/>
          </w:tcPr>
          <w:p>
            <w:pPr>
              <w:spacing w:after="0"/>
              <w:rPr>
                <w:sz w:val="20"/>
                <w:szCs w:val="20"/>
                <w:color w:val="auto"/>
              </w:rPr>
            </w:pPr>
          </w:p>
        </w:tc>
        <w:tc>
          <w:tcPr>
            <w:tcW w:w="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13.07</w:t>
            </w:r>
          </w:p>
        </w:tc>
      </w:tr>
      <w:tr>
        <w:trPr>
          <w:trHeight w:val="46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3"/>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144,826</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91,755</w:t>
            </w:r>
          </w:p>
        </w:tc>
        <w:tc>
          <w:tcPr>
            <w:tcW w:w="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509,450</w:t>
            </w:r>
          </w:p>
        </w:tc>
        <w:tc>
          <w:tcPr>
            <w:tcW w:w="6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423,817</w:t>
            </w:r>
          </w:p>
        </w:tc>
      </w:tr>
      <w:tr>
        <w:trPr>
          <w:trHeight w:val="256"/>
        </w:trPr>
        <w:tc>
          <w:tcPr>
            <w:tcW w:w="5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(1,777)</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(6,029)</w:t>
            </w:r>
          </w:p>
        </w:tc>
        <w:tc>
          <w:tcPr>
            <w:tcW w:w="2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(7,569)</w:t>
            </w:r>
          </w:p>
        </w:tc>
      </w:tr>
      <w:tr>
        <w:trPr>
          <w:trHeight w:val="237"/>
        </w:trPr>
        <w:tc>
          <w:tcPr>
            <w:tcW w:w="5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Free cash flow</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144,029</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89,978</w:t>
            </w:r>
          </w:p>
        </w:tc>
        <w:tc>
          <w:tcPr>
            <w:tcW w:w="220" w:type="dxa"/>
            <w:vAlign w:val="bottom"/>
          </w:tcPr>
          <w:p>
            <w:pPr>
              <w:spacing w:after="0"/>
              <w:rPr>
                <w:sz w:val="20"/>
                <w:szCs w:val="20"/>
                <w:color w:val="auto"/>
              </w:rPr>
            </w:pP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503,421</w:t>
            </w:r>
          </w:p>
        </w:tc>
        <w:tc>
          <w:tcPr>
            <w:tcW w:w="220" w:type="dxa"/>
            <w:vAlign w:val="bottom"/>
          </w:tcPr>
          <w:p>
            <w:pPr>
              <w:spacing w:after="0"/>
              <w:rPr>
                <w:sz w:val="20"/>
                <w:szCs w:val="20"/>
                <w:color w:val="auto"/>
              </w:rPr>
            </w:pPr>
          </w:p>
        </w:tc>
        <w:tc>
          <w:tcPr>
            <w:tcW w:w="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416,248</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The numbers may not sum to total due to rounding.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Non-GAAP Financial Measures</w:t>
      </w:r>
    </w:p>
    <w:p>
      <w:pPr>
        <w:spacing w:after="0" w:line="20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To supplement the consolidated GAAP financial statements, the company uses the following non-GAAP financial measures: non-GAAP net income, non-GAAP EPS, and free cash flow. Non-GAAP net income and non-GAAP EPS exclude, to the extent applicable, such items as the impact of amortization expense, share-based compensation expense, restructuring and acquisition-related, excess tax benefit, and adjustment to tax valuation allowance items. Free cash flow excludes capital expenditures. The presentation of these financial measures is not intended to be considered in isolation or as a substitute for, or superior to, the financial information prepared and presented in accordance with GAAP.</w:t>
      </w:r>
    </w:p>
    <w:p>
      <w:pPr>
        <w:spacing w:after="0" w:line="14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Management uses these non-GAAP financial measures for financial and operational decision-making and as a means to evaluate period-to-period comparisons. Our management believes these non-GAAP financial measures provide meaningful supplemental information regarding our performance and liquidity by excluding certain items that may not be indicative of recurring business results including significant non-cash expenses. We believe management and investors benefit from referring to these non-GAAP financial measures in assessing our performance when planning, forecasting and analyzing future periods. These non-GAAP financial measures also facilitate management’s internal comparisons to historical performance and liquidity as well as comparisons to our competitors’ operating results. We believe these non-GAAP financial measures are useful to investors because they allow for greater transparency with respect to key measures used by management in its financial and operating decision making.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6460" w:type="dxa"/>
            <w:vAlign w:val="bottom"/>
            <w:gridSpan w:val="2"/>
          </w:tcPr>
          <w:p>
            <w:pPr>
              <w:jc w:val="center"/>
              <w:ind w:right="1930"/>
              <w:spacing w:after="0"/>
              <w:rPr>
                <w:sz w:val="20"/>
                <w:szCs w:val="20"/>
                <w:color w:val="auto"/>
              </w:rPr>
            </w:pPr>
            <w:r>
              <w:rPr>
                <w:rFonts w:ascii="Times New Roman" w:cs="Times New Roman" w:eastAsia="Times New Roman" w:hAnsi="Times New Roman"/>
                <w:sz w:val="18"/>
                <w:szCs w:val="18"/>
                <w:b w:val="1"/>
                <w:bCs w:val="1"/>
                <w:color w:val="auto"/>
                <w:w w:val="99"/>
              </w:rPr>
              <w:t>FAIR ISAAC CORPORATION</w:t>
            </w:r>
          </w:p>
        </w:tc>
        <w:tc>
          <w:tcPr>
            <w:tcW w:w="1380" w:type="dxa"/>
            <w:vAlign w:val="bottom"/>
          </w:tcPr>
          <w:p>
            <w:pPr>
              <w:spacing w:after="0"/>
              <w:rPr>
                <w:sz w:val="20"/>
                <w:szCs w:val="20"/>
                <w:color w:val="auto"/>
              </w:rPr>
            </w:pPr>
          </w:p>
        </w:tc>
      </w:tr>
      <w:tr>
        <w:trPr>
          <w:trHeight w:val="243"/>
        </w:trPr>
        <w:tc>
          <w:tcPr>
            <w:tcW w:w="3400" w:type="dxa"/>
            <w:vAlign w:val="bottom"/>
          </w:tcPr>
          <w:p>
            <w:pPr>
              <w:spacing w:after="0"/>
              <w:rPr>
                <w:sz w:val="21"/>
                <w:szCs w:val="21"/>
                <w:color w:val="auto"/>
              </w:rPr>
            </w:pPr>
          </w:p>
        </w:tc>
        <w:tc>
          <w:tcPr>
            <w:tcW w:w="6460" w:type="dxa"/>
            <w:vAlign w:val="bottom"/>
            <w:gridSpan w:val="2"/>
          </w:tcPr>
          <w:p>
            <w:pPr>
              <w:jc w:val="center"/>
              <w:ind w:right="1930"/>
              <w:spacing w:after="0"/>
              <w:rPr>
                <w:sz w:val="20"/>
                <w:szCs w:val="20"/>
                <w:color w:val="auto"/>
              </w:rPr>
            </w:pPr>
            <w:r>
              <w:rPr>
                <w:rFonts w:ascii="Times New Roman" w:cs="Times New Roman" w:eastAsia="Times New Roman" w:hAnsi="Times New Roman"/>
                <w:sz w:val="18"/>
                <w:szCs w:val="18"/>
                <w:b w:val="1"/>
                <w:bCs w:val="1"/>
                <w:color w:val="auto"/>
                <w:w w:val="99"/>
              </w:rPr>
              <w:t>RECONCILIATION OF NON-GAAP GUIDANCE</w:t>
            </w:r>
          </w:p>
        </w:tc>
        <w:tc>
          <w:tcPr>
            <w:tcW w:w="1380" w:type="dxa"/>
            <w:vAlign w:val="bottom"/>
          </w:tcPr>
          <w:p>
            <w:pPr>
              <w:spacing w:after="0"/>
              <w:rPr>
                <w:sz w:val="21"/>
                <w:szCs w:val="21"/>
                <w:color w:val="auto"/>
              </w:rPr>
            </w:pPr>
          </w:p>
        </w:tc>
      </w:tr>
      <w:tr>
        <w:trPr>
          <w:trHeight w:val="243"/>
        </w:trPr>
        <w:tc>
          <w:tcPr>
            <w:tcW w:w="3400" w:type="dxa"/>
            <w:vAlign w:val="bottom"/>
          </w:tcPr>
          <w:p>
            <w:pPr>
              <w:spacing w:after="0"/>
              <w:rPr>
                <w:sz w:val="21"/>
                <w:szCs w:val="21"/>
                <w:color w:val="auto"/>
              </w:rPr>
            </w:pPr>
          </w:p>
        </w:tc>
        <w:tc>
          <w:tcPr>
            <w:tcW w:w="6460" w:type="dxa"/>
            <w:vAlign w:val="bottom"/>
            <w:gridSpan w:val="2"/>
          </w:tcPr>
          <w:p>
            <w:pPr>
              <w:jc w:val="center"/>
              <w:ind w:right="1930"/>
              <w:spacing w:after="0"/>
              <w:rPr>
                <w:sz w:val="20"/>
                <w:szCs w:val="20"/>
                <w:color w:val="auto"/>
              </w:rPr>
            </w:pPr>
            <w:r>
              <w:rPr>
                <w:rFonts w:ascii="Times New Roman" w:cs="Times New Roman" w:eastAsia="Times New Roman" w:hAnsi="Times New Roman"/>
                <w:sz w:val="18"/>
                <w:szCs w:val="18"/>
                <w:b w:val="1"/>
                <w:bCs w:val="1"/>
                <w:color w:val="auto"/>
                <w:w w:val="99"/>
              </w:rPr>
              <w:t>(In millions, except per share data)</w:t>
            </w:r>
          </w:p>
        </w:tc>
        <w:tc>
          <w:tcPr>
            <w:tcW w:w="1380" w:type="dxa"/>
            <w:vAlign w:val="bottom"/>
          </w:tcPr>
          <w:p>
            <w:pPr>
              <w:spacing w:after="0"/>
              <w:rPr>
                <w:sz w:val="21"/>
                <w:szCs w:val="21"/>
                <w:color w:val="auto"/>
              </w:rPr>
            </w:pPr>
          </w:p>
        </w:tc>
      </w:tr>
      <w:tr>
        <w:trPr>
          <w:trHeight w:val="243"/>
        </w:trPr>
        <w:tc>
          <w:tcPr>
            <w:tcW w:w="3400" w:type="dxa"/>
            <w:vAlign w:val="bottom"/>
          </w:tcPr>
          <w:p>
            <w:pPr>
              <w:spacing w:after="0"/>
              <w:rPr>
                <w:sz w:val="21"/>
                <w:szCs w:val="21"/>
                <w:color w:val="auto"/>
              </w:rPr>
            </w:pPr>
          </w:p>
        </w:tc>
        <w:tc>
          <w:tcPr>
            <w:tcW w:w="6460" w:type="dxa"/>
            <w:vAlign w:val="bottom"/>
            <w:gridSpan w:val="2"/>
          </w:tcPr>
          <w:p>
            <w:pPr>
              <w:jc w:val="center"/>
              <w:ind w:right="19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380" w:type="dxa"/>
            <w:vAlign w:val="bottom"/>
          </w:tcPr>
          <w:p>
            <w:pPr>
              <w:spacing w:after="0"/>
              <w:rPr>
                <w:sz w:val="21"/>
                <w:szCs w:val="21"/>
                <w:color w:val="auto"/>
              </w:rPr>
            </w:pPr>
          </w:p>
        </w:tc>
      </w:tr>
      <w:tr>
        <w:trPr>
          <w:trHeight w:val="486"/>
        </w:trPr>
        <w:tc>
          <w:tcPr>
            <w:tcW w:w="34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3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Fiscal 2023 Guidance</w:t>
            </w:r>
          </w:p>
        </w:tc>
      </w:tr>
      <w:tr>
        <w:trPr>
          <w:trHeight w:val="48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6460" w:type="dxa"/>
            <w:vAlign w:val="bottom"/>
            <w:gridSpan w:val="2"/>
          </w:tcPr>
          <w:p>
            <w:pPr>
              <w:ind w:left="5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401</w:t>
            </w:r>
          </w:p>
        </w:tc>
      </w:tr>
      <w:tr>
        <w:trPr>
          <w:trHeight w:val="243"/>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5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5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120</w:t>
            </w:r>
          </w:p>
        </w:tc>
      </w:tr>
      <w:tr>
        <w:trPr>
          <w:trHeight w:val="243"/>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adjustments</w:t>
            </w:r>
          </w:p>
        </w:tc>
        <w:tc>
          <w:tcPr>
            <w:tcW w:w="5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(30)</w:t>
            </w:r>
          </w:p>
        </w:tc>
      </w:tr>
      <w:tr>
        <w:trPr>
          <w:trHeight w:val="256"/>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Excess tax benefit</w:t>
            </w:r>
          </w:p>
        </w:tc>
        <w:tc>
          <w:tcPr>
            <w:tcW w:w="550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3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Non-GAAP net income</w:t>
            </w:r>
          </w:p>
        </w:tc>
        <w:tc>
          <w:tcPr>
            <w:tcW w:w="5500" w:type="dxa"/>
            <w:vAlign w:val="bottom"/>
          </w:tcPr>
          <w:p>
            <w:pPr>
              <w:spacing w:after="0"/>
              <w:rPr>
                <w:sz w:val="20"/>
                <w:szCs w:val="20"/>
                <w:color w:val="auto"/>
              </w:rPr>
            </w:pPr>
          </w:p>
        </w:tc>
        <w:tc>
          <w:tcPr>
            <w:tcW w:w="9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487</w:t>
            </w:r>
          </w:p>
        </w:tc>
      </w:tr>
      <w:tr>
        <w:trPr>
          <w:trHeight w:val="20"/>
        </w:trPr>
        <w:tc>
          <w:tcPr>
            <w:tcW w:w="34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69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GAAP diluted earnings per share</w:t>
            </w:r>
          </w:p>
        </w:tc>
        <w:tc>
          <w:tcPr>
            <w:tcW w:w="6460" w:type="dxa"/>
            <w:vAlign w:val="bottom"/>
            <w:gridSpan w:val="2"/>
          </w:tcPr>
          <w:p>
            <w:pPr>
              <w:ind w:left="58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16.00</w:t>
            </w:r>
          </w:p>
        </w:tc>
      </w:tr>
      <w:tr>
        <w:trPr>
          <w:trHeight w:val="243"/>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5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0.04</w:t>
            </w:r>
          </w:p>
        </w:tc>
      </w:tr>
      <w:tr>
        <w:trPr>
          <w:trHeight w:val="243"/>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5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4.78</w:t>
            </w:r>
          </w:p>
        </w:tc>
      </w:tr>
      <w:tr>
        <w:trPr>
          <w:trHeight w:val="243"/>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adjustments</w:t>
            </w:r>
          </w:p>
        </w:tc>
        <w:tc>
          <w:tcPr>
            <w:tcW w:w="5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(1.21)</w:t>
            </w:r>
          </w:p>
        </w:tc>
      </w:tr>
      <w:tr>
        <w:trPr>
          <w:trHeight w:val="257"/>
        </w:trPr>
        <w:tc>
          <w:tcPr>
            <w:tcW w:w="3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Excess tax benefit</w:t>
            </w:r>
          </w:p>
        </w:tc>
        <w:tc>
          <w:tcPr>
            <w:tcW w:w="550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(0.20)</w:t>
            </w:r>
          </w:p>
        </w:tc>
      </w:tr>
      <w:tr>
        <w:trPr>
          <w:trHeight w:val="237"/>
        </w:trPr>
        <w:tc>
          <w:tcPr>
            <w:tcW w:w="3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Non-GAAP diluted earnings per share</w:t>
            </w:r>
          </w:p>
        </w:tc>
        <w:tc>
          <w:tcPr>
            <w:tcW w:w="5500" w:type="dxa"/>
            <w:vAlign w:val="bottom"/>
          </w:tcPr>
          <w:p>
            <w:pPr>
              <w:spacing w:after="0"/>
              <w:rPr>
                <w:sz w:val="20"/>
                <w:szCs w:val="20"/>
                <w:color w:val="auto"/>
              </w:rPr>
            </w:pPr>
          </w:p>
        </w:tc>
        <w:tc>
          <w:tcPr>
            <w:tcW w:w="9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19.42</w:t>
            </w:r>
          </w:p>
        </w:tc>
      </w:tr>
      <w:tr>
        <w:trPr>
          <w:trHeight w:val="20"/>
        </w:trPr>
        <w:tc>
          <w:tcPr>
            <w:tcW w:w="34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The numbers may not sum to total due to rounding.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Non-GAAP Financial Measures</w:t>
      </w:r>
    </w:p>
    <w:p>
      <w:pPr>
        <w:spacing w:after="0" w:line="20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To supplement the consolidated GAAP financial statements, the company uses the following non-GAAP financial measures: non-GAAP net income, non-GAAP EPS, and free cash flow. Non-GAAP net income and non-GAAP EPS exclude, to the extent applicable, such items as the impact of amortization expense, share-based compensation expense, restructuring and acquisition-related, excess tax benefit, and adjustment to tax valuation allowance items. Free cash flow excludes capital expenditures. The presentation of these financial measures is not intended to be considered in isolation or as a substitute for, or superior to, the financial information prepared and presented in accordance with GAAP.</w:t>
      </w:r>
    </w:p>
    <w:p>
      <w:pPr>
        <w:spacing w:after="0" w:line="14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Management uses these non-GAAP financial measures for financial and operational decision-making and as a means to evaluate period-to-period comparisons. Our management believes these non-GAAP financial measures provide meaningful supplemental information regarding our performance and liquidity by excluding certain items that may not be indicative of recurring business results including significant non-cash expenses. We believe management and investors benefit from referring to these non-GAAP financial measures in assessing our performance when planning, forecasting and analyzing future periods. These non-GAAP financial measures also facilitate management’s internal comparisons to historical performance and liquidity as well as comparisons to our competitors’ operating results. We believe these non-GAAP financial measures are useful to investors because they allow for greater transparency with respect to key measures used by management in its financial and operating decision-making.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Contacts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Investors/Analysts: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 Weber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Isaac Corporation</w:t>
      </w:r>
    </w:p>
    <w:p>
      <w:pPr>
        <w:spacing w:after="0" w:line="9" w:lineRule="exact"/>
        <w:rPr>
          <w:sz w:val="20"/>
          <w:szCs w:val="20"/>
          <w:color w:val="auto"/>
        </w:rPr>
      </w:pPr>
    </w:p>
    <w:p>
      <w:pPr>
        <w:ind w:right="9860" w:firstLine="8"/>
        <w:spacing w:after="0" w:line="290" w:lineRule="auto"/>
        <w:tabs>
          <w:tab w:leader="none" w:pos="4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213-5542 investor@fico.com</w:t>
      </w:r>
    </w:p>
    <w:sectPr>
      <w:pgSz w:w="11900" w:h="16838" w:orient="portrait"/>
      <w:cols w:equalWidth="0" w:num="1">
        <w:col w:w="11240"/>
      </w:cols>
      <w:pgMar w:left="320" w:top="1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04"/>
    </w:lvl>
  </w:abstractNum>
  <w:abstractNum w:abstractNumId="3">
    <w:nsid w:val="625558EC"/>
    <w:multiLevelType w:val="hybridMultilevel"/>
    <w:lvl w:ilvl="0">
      <w:lvlJc w:val="left"/>
      <w:lvlText w:val="(%1)"/>
      <w:numFmt w:val="decimal"/>
      <w:start w:val="800"/>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2022-11-10T02:56:36Z</dcterms:created>
  <dcterms:modified xsi:type="dcterms:W3CDTF">2022-11-10T02:56:36Z</dcterms:modified>
</cp:coreProperties>
</file>