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7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225425</wp:posOffset>
            </wp:positionH>
            <wp:positionV relativeFrom="page">
              <wp:posOffset>877570</wp:posOffset>
            </wp:positionV>
            <wp:extent cx="710628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06285" cy="8890"/>
                    </a:xfrm>
                    <a:prstGeom prst="rect">
                      <a:avLst/>
                    </a:prstGeom>
                    <a:noFill/>
                  </pic:spPr>
                </pic:pic>
              </a:graphicData>
            </a:graphic>
          </wp:anchor>
        </w:drawing>
        <w:drawing>
          <wp:anchor simplePos="0" relativeHeight="251657728" behindDoc="1" locked="0" layoutInCell="0" allowOverlap="1">
            <wp:simplePos x="0" y="0"/>
            <wp:positionH relativeFrom="page">
              <wp:posOffset>225425</wp:posOffset>
            </wp:positionH>
            <wp:positionV relativeFrom="page">
              <wp:posOffset>903605</wp:posOffset>
            </wp:positionV>
            <wp:extent cx="710628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8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39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3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200" w:lineRule="exact"/>
        <w:rPr>
          <w:sz w:val="24"/>
          <w:szCs w:val="24"/>
          <w:color w:val="auto"/>
        </w:rPr>
      </w:pPr>
    </w:p>
    <w:p>
      <w:pPr>
        <w:spacing w:after="0" w:line="26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Date of Report (date of earliest event reported) </w:t>
      </w:r>
      <w:r>
        <w:rPr>
          <w:rFonts w:ascii="Times New Roman" w:cs="Times New Roman" w:eastAsia="Times New Roman" w:hAnsi="Times New Roman"/>
          <w:sz w:val="18"/>
          <w:szCs w:val="18"/>
          <w:b w:val="1"/>
          <w:bCs w:val="1"/>
          <w:u w:val="single" w:color="auto"/>
          <w:color w:val="auto"/>
        </w:rPr>
        <w:t>April 28, 2026</w:t>
      </w:r>
    </w:p>
    <w:p>
      <w:pPr>
        <w:spacing w:after="0" w:line="26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u w:val="single" w:color="auto"/>
          <w:color w:val="auto"/>
        </w:rPr>
        <w:t>FAIR ISAAC CORPORATION</w:t>
      </w:r>
    </w:p>
    <w:p>
      <w:pPr>
        <w:spacing w:after="0" w:line="7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0" w:lineRule="exact"/>
        <w:rPr>
          <w:sz w:val="24"/>
          <w:szCs w:val="24"/>
          <w:color w:val="auto"/>
        </w:rPr>
      </w:pPr>
    </w:p>
    <w:p>
      <w:pPr>
        <w:spacing w:after="0" w:line="380" w:lineRule="exact"/>
        <w:rPr>
          <w:sz w:val="24"/>
          <w:szCs w:val="24"/>
          <w:color w:val="auto"/>
        </w:rPr>
      </w:pPr>
    </w:p>
    <w:tbl>
      <w:tblPr>
        <w:tblLayout w:type="fixed"/>
        <w:tblInd w:w="900" w:type="dxa"/>
        <w:tblCellMar>
          <w:top w:w="0" w:type="dxa"/>
          <w:left w:w="0" w:type="dxa"/>
          <w:bottom w:w="0" w:type="dxa"/>
          <w:right w:w="0" w:type="dxa"/>
        </w:tblCellMar>
      </w:tblPr>
      <w:tr>
        <w:trPr>
          <w:trHeight w:val="207"/>
        </w:trPr>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760" w:type="dxa"/>
            <w:vAlign w:val="bottom"/>
            <w:gridSpan w:val="5"/>
          </w:tcPr>
          <w:p>
            <w:pPr>
              <w:jc w:val="center"/>
              <w:ind w:right="204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6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1-11689</w:t>
            </w:r>
          </w:p>
        </w:tc>
        <w:tc>
          <w:tcPr>
            <w:tcW w:w="2640" w:type="dxa"/>
            <w:vAlign w:val="bottom"/>
            <w:gridSpan w:val="5"/>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94-1499887</w:t>
            </w:r>
          </w:p>
        </w:tc>
      </w:tr>
      <w:tr>
        <w:trPr>
          <w:trHeight w:val="20"/>
        </w:trPr>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518"/>
        </w:trPr>
        <w:tc>
          <w:tcPr>
            <w:tcW w:w="3740" w:type="dxa"/>
            <w:vAlign w:val="bottom"/>
            <w:gridSpan w:val="7"/>
          </w:tcPr>
          <w:p>
            <w:pPr>
              <w:jc w:val="center"/>
              <w:ind w:right="1060"/>
              <w:spacing w:after="0"/>
              <w:rPr>
                <w:sz w:val="20"/>
                <w:szCs w:val="20"/>
                <w:color w:val="auto"/>
              </w:rPr>
            </w:pPr>
            <w:r>
              <w:rPr>
                <w:rFonts w:ascii="Times New Roman" w:cs="Times New Roman" w:eastAsia="Times New Roman" w:hAnsi="Times New Roman"/>
                <w:sz w:val="16"/>
                <w:szCs w:val="16"/>
                <w:b w:val="1"/>
                <w:bCs w:val="1"/>
                <w:color w:val="auto"/>
              </w:rPr>
              <w:t>(State or other jurisdiction</w:t>
            </w:r>
          </w:p>
        </w:tc>
        <w:tc>
          <w:tcPr>
            <w:tcW w:w="306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(Commission</w:t>
            </w:r>
          </w:p>
        </w:tc>
        <w:tc>
          <w:tcPr>
            <w:tcW w:w="2640" w:type="dxa"/>
            <w:vAlign w:val="bottom"/>
            <w:gridSpan w:val="5"/>
          </w:tcPr>
          <w:p>
            <w:pPr>
              <w:jc w:val="center"/>
              <w:ind w:left="955"/>
              <w:spacing w:after="0"/>
              <w:rPr>
                <w:sz w:val="20"/>
                <w:szCs w:val="20"/>
                <w:color w:val="auto"/>
              </w:rPr>
            </w:pPr>
            <w:r>
              <w:rPr>
                <w:rFonts w:ascii="Times New Roman" w:cs="Times New Roman" w:eastAsia="Times New Roman" w:hAnsi="Times New Roman"/>
                <w:sz w:val="16"/>
                <w:szCs w:val="16"/>
                <w:b w:val="1"/>
                <w:bCs w:val="1"/>
                <w:color w:val="auto"/>
              </w:rPr>
              <w:t>(IRS Employer</w:t>
            </w:r>
          </w:p>
        </w:tc>
      </w:tr>
      <w:tr>
        <w:trPr>
          <w:trHeight w:val="226"/>
        </w:trPr>
        <w:tc>
          <w:tcPr>
            <w:tcW w:w="580" w:type="dxa"/>
            <w:vAlign w:val="bottom"/>
          </w:tcPr>
          <w:p>
            <w:pPr>
              <w:spacing w:after="0"/>
              <w:rPr>
                <w:sz w:val="19"/>
                <w:szCs w:val="19"/>
                <w:color w:val="auto"/>
              </w:rPr>
            </w:pPr>
          </w:p>
        </w:tc>
        <w:tc>
          <w:tcPr>
            <w:tcW w:w="3160" w:type="dxa"/>
            <w:vAlign w:val="bottom"/>
            <w:gridSpan w:val="6"/>
          </w:tcPr>
          <w:p>
            <w:pPr>
              <w:jc w:val="center"/>
              <w:ind w:right="1620"/>
              <w:spacing w:after="0"/>
              <w:rPr>
                <w:sz w:val="20"/>
                <w:szCs w:val="20"/>
                <w:color w:val="auto"/>
              </w:rPr>
            </w:pPr>
            <w:r>
              <w:rPr>
                <w:rFonts w:ascii="Times New Roman" w:cs="Times New Roman" w:eastAsia="Times New Roman" w:hAnsi="Times New Roman"/>
                <w:sz w:val="16"/>
                <w:szCs w:val="16"/>
                <w:b w:val="1"/>
                <w:bCs w:val="1"/>
                <w:color w:val="auto"/>
              </w:rPr>
              <w:t>of incorporation)</w:t>
            </w:r>
          </w:p>
        </w:tc>
        <w:tc>
          <w:tcPr>
            <w:tcW w:w="306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File Number)</w:t>
            </w:r>
          </w:p>
        </w:tc>
        <w:tc>
          <w:tcPr>
            <w:tcW w:w="2640" w:type="dxa"/>
            <w:vAlign w:val="bottom"/>
            <w:gridSpan w:val="5"/>
          </w:tcPr>
          <w:p>
            <w:pPr>
              <w:jc w:val="center"/>
              <w:ind w:left="955"/>
              <w:spacing w:after="0"/>
              <w:rPr>
                <w:sz w:val="20"/>
                <w:szCs w:val="20"/>
                <w:color w:val="auto"/>
              </w:rPr>
            </w:pPr>
            <w:r>
              <w:rPr>
                <w:rFonts w:ascii="Times New Roman" w:cs="Times New Roman" w:eastAsia="Times New Roman" w:hAnsi="Times New Roman"/>
                <w:sz w:val="16"/>
                <w:szCs w:val="16"/>
                <w:b w:val="1"/>
                <w:bCs w:val="1"/>
                <w:color w:val="auto"/>
              </w:rPr>
              <w:t>Identification Number)</w:t>
            </w:r>
          </w:p>
        </w:tc>
      </w:tr>
      <w:tr>
        <w:trPr>
          <w:trHeight w:val="479"/>
        </w:trPr>
        <w:tc>
          <w:tcPr>
            <w:tcW w:w="3740" w:type="dxa"/>
            <w:vAlign w:val="bottom"/>
            <w:gridSpan w:val="7"/>
          </w:tcPr>
          <w:p>
            <w:pPr>
              <w:jc w:val="center"/>
              <w:ind w:right="1060"/>
              <w:spacing w:after="0"/>
              <w:rPr>
                <w:sz w:val="20"/>
                <w:szCs w:val="20"/>
                <w:color w:val="auto"/>
              </w:rPr>
            </w:pPr>
            <w:r>
              <w:rPr>
                <w:rFonts w:ascii="Times New Roman" w:cs="Times New Roman" w:eastAsia="Times New Roman" w:hAnsi="Times New Roman"/>
                <w:sz w:val="18"/>
                <w:szCs w:val="18"/>
                <w:b w:val="1"/>
                <w:bCs w:val="1"/>
                <w:color w:val="auto"/>
                <w:w w:val="99"/>
              </w:rPr>
              <w:t>5 West Mendenhall, Suite 105</w:t>
            </w:r>
          </w:p>
        </w:tc>
        <w:tc>
          <w:tcPr>
            <w:tcW w:w="1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43"/>
        </w:trPr>
        <w:tc>
          <w:tcPr>
            <w:tcW w:w="580" w:type="dxa"/>
            <w:vAlign w:val="bottom"/>
          </w:tcPr>
          <w:p>
            <w:pPr>
              <w:spacing w:after="0"/>
              <w:rPr>
                <w:sz w:val="21"/>
                <w:szCs w:val="21"/>
                <w:color w:val="auto"/>
              </w:rPr>
            </w:pPr>
          </w:p>
        </w:tc>
        <w:tc>
          <w:tcPr>
            <w:tcW w:w="3160" w:type="dxa"/>
            <w:vAlign w:val="bottom"/>
            <w:gridSpan w:val="6"/>
          </w:tcPr>
          <w:p>
            <w:pPr>
              <w:jc w:val="center"/>
              <w:ind w:right="1680"/>
              <w:spacing w:after="0"/>
              <w:rPr>
                <w:sz w:val="20"/>
                <w:szCs w:val="20"/>
                <w:color w:val="auto"/>
              </w:rPr>
            </w:pPr>
            <w:r>
              <w:rPr>
                <w:rFonts w:ascii="Times New Roman" w:cs="Times New Roman" w:eastAsia="Times New Roman" w:hAnsi="Times New Roman"/>
                <w:sz w:val="18"/>
                <w:szCs w:val="18"/>
                <w:b w:val="1"/>
                <w:bCs w:val="1"/>
                <w:color w:val="auto"/>
                <w:w w:val="98"/>
              </w:rPr>
              <w:t>Bozeman, Montana</w:t>
            </w:r>
          </w:p>
        </w:tc>
        <w:tc>
          <w:tcPr>
            <w:tcW w:w="12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28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59715</w:t>
            </w:r>
          </w:p>
        </w:tc>
        <w:tc>
          <w:tcPr>
            <w:tcW w:w="360" w:type="dxa"/>
            <w:vAlign w:val="bottom"/>
          </w:tcPr>
          <w:p>
            <w:pPr>
              <w:spacing w:after="0"/>
              <w:rPr>
                <w:sz w:val="21"/>
                <w:szCs w:val="21"/>
                <w:color w:val="auto"/>
              </w:rPr>
            </w:pPr>
          </w:p>
        </w:tc>
      </w:tr>
      <w:tr>
        <w:trPr>
          <w:trHeight w:val="20"/>
        </w:trPr>
        <w:tc>
          <w:tcPr>
            <w:tcW w:w="580" w:type="dxa"/>
            <w:vAlign w:val="bottom"/>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r>
      <w:tr>
        <w:trPr>
          <w:trHeight w:val="284"/>
        </w:trPr>
        <w:tc>
          <w:tcPr>
            <w:tcW w:w="3740" w:type="dxa"/>
            <w:vAlign w:val="bottom"/>
            <w:gridSpan w:val="7"/>
          </w:tcPr>
          <w:p>
            <w:pPr>
              <w:jc w:val="center"/>
              <w:ind w:right="1060"/>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w:t>
            </w:r>
          </w:p>
        </w:tc>
        <w:tc>
          <w:tcPr>
            <w:tcW w:w="1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40" w:type="dxa"/>
            <w:vAlign w:val="bottom"/>
            <w:gridSpan w:val="4"/>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(Zip Code)</w:t>
            </w:r>
          </w:p>
        </w:tc>
      </w:tr>
    </w:tbl>
    <w:p>
      <w:pPr>
        <w:spacing w:after="0" w:line="321"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 xml:space="preserve">Registrant’s telephone number, including area code </w:t>
      </w:r>
      <w:r>
        <w:rPr>
          <w:rFonts w:ascii="Times New Roman" w:cs="Times New Roman" w:eastAsia="Times New Roman" w:hAnsi="Times New Roman"/>
          <w:sz w:val="18"/>
          <w:szCs w:val="18"/>
          <w:b w:val="1"/>
          <w:bCs w:val="1"/>
          <w:u w:val="single" w:color="auto"/>
          <w:color w:val="auto"/>
        </w:rPr>
        <w:t>406-982-7276</w:t>
      </w:r>
    </w:p>
    <w:p>
      <w:pPr>
        <w:spacing w:after="0" w:line="175" w:lineRule="exact"/>
        <w:rPr>
          <w:sz w:val="24"/>
          <w:szCs w:val="24"/>
          <w:color w:val="auto"/>
        </w:rPr>
      </w:pPr>
    </w:p>
    <w:p>
      <w:pPr>
        <w:ind w:firstLine="389"/>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highlight w:val="black"/>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highlight w:val="black"/>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highlight w:val="black"/>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93" w:lineRule="exact"/>
        <w:rPr>
          <w:sz w:val="24"/>
          <w:szCs w:val="24"/>
          <w:color w:val="auto"/>
        </w:rPr>
      </w:pPr>
    </w:p>
    <w:tbl>
      <w:tblPr>
        <w:tblLayout w:type="fixed"/>
        <w:tblInd w:w="40" w:type="dxa"/>
        <w:tblCellMar>
          <w:top w:w="0" w:type="dxa"/>
          <w:left w:w="0" w:type="dxa"/>
          <w:bottom w:w="0" w:type="dxa"/>
          <w:right w:w="0" w:type="dxa"/>
        </w:tblCellMar>
      </w:tblPr>
      <w:tr>
        <w:trPr>
          <w:trHeight w:val="234"/>
        </w:trPr>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4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340" w:type="dxa"/>
            <w:vAlign w:val="bottom"/>
          </w:tcPr>
          <w:p>
            <w:pPr>
              <w:spacing w:after="0"/>
              <w:rPr>
                <w:sz w:val="20"/>
                <w:szCs w:val="20"/>
                <w:color w:val="auto"/>
              </w:rPr>
            </w:pPr>
          </w:p>
        </w:tc>
      </w:tr>
      <w:tr>
        <w:trPr>
          <w:trHeight w:val="230"/>
        </w:trPr>
        <w:tc>
          <w:tcPr>
            <w:tcW w:w="134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920" w:type="dxa"/>
            <w:vAlign w:val="bottom"/>
          </w:tcPr>
          <w:p>
            <w:pPr>
              <w:spacing w:after="0"/>
              <w:rPr>
                <w:sz w:val="19"/>
                <w:szCs w:val="19"/>
                <w:color w:val="auto"/>
              </w:rPr>
            </w:pPr>
          </w:p>
        </w:tc>
        <w:tc>
          <w:tcPr>
            <w:tcW w:w="202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920" w:type="dxa"/>
            <w:vAlign w:val="bottom"/>
            <w:gridSpan w:val="2"/>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7"/>
        </w:trPr>
        <w:tc>
          <w:tcPr>
            <w:tcW w:w="1340" w:type="dxa"/>
            <w:vAlign w:val="bottom"/>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920" w:type="dxa"/>
            <w:vAlign w:val="bottom"/>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580" w:type="dxa"/>
            <w:vAlign w:val="bottom"/>
          </w:tcPr>
          <w:p>
            <w:pPr>
              <w:spacing w:after="0"/>
              <w:rPr>
                <w:sz w:val="2"/>
                <w:szCs w:val="2"/>
                <w:color w:val="auto"/>
              </w:rPr>
            </w:pPr>
          </w:p>
        </w:tc>
        <w:tc>
          <w:tcPr>
            <w:tcW w:w="3340" w:type="dxa"/>
            <w:vAlign w:val="bottom"/>
            <w:shd w:val="clear" w:color="auto" w:fill="000000"/>
          </w:tcPr>
          <w:p>
            <w:pPr>
              <w:spacing w:after="0"/>
              <w:rPr>
                <w:sz w:val="2"/>
                <w:szCs w:val="2"/>
                <w:color w:val="auto"/>
              </w:rPr>
            </w:pPr>
          </w:p>
        </w:tc>
      </w:tr>
      <w:tr>
        <w:trPr>
          <w:trHeight w:val="297"/>
        </w:trPr>
        <w:tc>
          <w:tcPr>
            <w:tcW w:w="4620" w:type="dxa"/>
            <w:vAlign w:val="bottom"/>
            <w:gridSpan w:val="3"/>
          </w:tcPr>
          <w:p>
            <w:pPr>
              <w:jc w:val="center"/>
              <w:ind w:right="580"/>
              <w:spacing w:after="0"/>
              <w:rPr>
                <w:sz w:val="20"/>
                <w:szCs w:val="20"/>
                <w:color w:val="auto"/>
              </w:rPr>
            </w:pPr>
            <w:r>
              <w:rPr>
                <w:rFonts w:ascii="Times New Roman" w:cs="Times New Roman" w:eastAsia="Times New Roman" w:hAnsi="Times New Roman"/>
                <w:sz w:val="18"/>
                <w:szCs w:val="18"/>
                <w:color w:val="auto"/>
              </w:rPr>
              <w:t>Common Stock, $0.01 par value per share</w:t>
            </w:r>
          </w:p>
        </w:tc>
        <w:tc>
          <w:tcPr>
            <w:tcW w:w="202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color w:val="auto"/>
              </w:rPr>
              <w:t>FICO</w:t>
            </w:r>
          </w:p>
        </w:tc>
        <w:tc>
          <w:tcPr>
            <w:tcW w:w="580" w:type="dxa"/>
            <w:vAlign w:val="bottom"/>
          </w:tcPr>
          <w:p>
            <w:pPr>
              <w:spacing w:after="0"/>
              <w:rPr>
                <w:sz w:val="24"/>
                <w:szCs w:val="24"/>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r>
    </w:tbl>
    <w:p>
      <w:pPr>
        <w:spacing w:after="0" w:line="211"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 of this chapter).</w:t>
      </w:r>
    </w:p>
    <w:p>
      <w:pPr>
        <w:spacing w:after="0" w:line="76" w:lineRule="exact"/>
        <w:rPr>
          <w:sz w:val="24"/>
          <w:szCs w:val="24"/>
          <w:color w:val="auto"/>
        </w:rPr>
      </w:pPr>
    </w:p>
    <w:p>
      <w:pPr>
        <w:ind w:left="8620"/>
        <w:spacing w:after="0" w:line="261" w:lineRule="exact"/>
        <w:tabs>
          <w:tab w:leader="none" w:pos="1072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26"/>
          <w:szCs w:val="26"/>
          <w:color w:val="auto"/>
          <w:highlight w:val="black"/>
          <w:vertAlign w:val="superscript"/>
        </w:rPr>
        <w:t>☐</w:t>
      </w:r>
    </w:p>
    <w:p>
      <w:pPr>
        <w:spacing w:after="0" w:line="375"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784225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wp:posOffset>
            </wp:positionV>
            <wp:extent cx="71062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062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42545</wp:posOffset>
            </wp:positionV>
            <wp:extent cx="71062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line="100" w:lineRule="exact"/>
        <w:rPr>
          <w:sz w:val="20"/>
          <w:szCs w:val="20"/>
          <w:color w:val="auto"/>
        </w:rPr>
      </w:pPr>
    </w:p>
    <w:p>
      <w:pPr>
        <w:jc w:val="right"/>
        <w:ind w:right="3359"/>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2.02. Results of Operations and Financial Condition.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9.01. Financial Statements and Exhibits.</w:t>
      </w:r>
    </w:p>
    <w:p>
      <w:pPr>
        <w:spacing w:after="0" w:line="23"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Exhibit 99.1</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910590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440"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2"/>
          <w:szCs w:val="22"/>
          <w:b w:val="1"/>
          <w:bCs w:val="1"/>
          <w:color w:val="auto"/>
        </w:rPr>
        <w:t>Item 2.02. Results of Operations and Financial Condition.</w:t>
      </w:r>
    </w:p>
    <w:p>
      <w:pPr>
        <w:spacing w:after="0" w:line="246"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On April 28, 2026, Fair Isaac Corporation (the “Company”) reported its financial results for the quarter ended March 31, 2026. See the Company’s press release dated April 28, 2026, which is furnished as Exhibit 99.1 hereto and incorporated by reference in this Item 2.02.</w:t>
      </w:r>
    </w:p>
    <w:p>
      <w:pPr>
        <w:spacing w:after="0" w:line="189"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2"/>
          <w:szCs w:val="22"/>
          <w:b w:val="1"/>
          <w:bCs w:val="1"/>
          <w:color w:val="auto"/>
        </w:rPr>
        <w:t>Item 9.01</w:t>
      </w:r>
      <w:r>
        <w:rPr>
          <w:sz w:val="20"/>
          <w:szCs w:val="20"/>
          <w:color w:val="auto"/>
        </w:rPr>
        <w:tab/>
      </w:r>
      <w:r>
        <w:rPr>
          <w:rFonts w:ascii="Times New Roman" w:cs="Times New Roman" w:eastAsia="Times New Roman" w:hAnsi="Times New Roman"/>
          <w:sz w:val="21"/>
          <w:szCs w:val="21"/>
          <w:b w:val="1"/>
          <w:bCs w:val="1"/>
          <w:color w:val="auto"/>
        </w:rPr>
        <w:t>Financial Statements and Exhibits.</w:t>
      </w:r>
    </w:p>
    <w:p>
      <w:pPr>
        <w:spacing w:after="0" w:line="1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(d) Exhibits.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 w:type="dxa"/>
            <w:vAlign w:val="bottom"/>
          </w:tcPr>
          <w:p>
            <w:pPr>
              <w:spacing w:after="0"/>
              <w:rPr>
                <w:sz w:val="17"/>
                <w:szCs w:val="17"/>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340" w:type="dxa"/>
            <w:vAlign w:val="bottom"/>
          </w:tcPr>
          <w:p>
            <w:pPr>
              <w:spacing w:after="0"/>
              <w:rPr>
                <w:sz w:val="17"/>
                <w:szCs w:val="17"/>
                <w:color w:val="auto"/>
              </w:rPr>
            </w:pPr>
          </w:p>
        </w:tc>
        <w:tc>
          <w:tcPr>
            <w:tcW w:w="84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r>
      <w:tr>
        <w:trPr>
          <w:trHeight w:val="263"/>
        </w:trPr>
        <w:tc>
          <w:tcPr>
            <w:tcW w:w="80" w:type="dxa"/>
            <w:vAlign w:val="bottom"/>
          </w:tcPr>
          <w:p>
            <w:pPr>
              <w:spacing w:after="0"/>
              <w:rPr>
                <w:sz w:val="22"/>
                <w:szCs w:val="22"/>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820" w:type="dxa"/>
            <w:vAlign w:val="bottom"/>
          </w:tcPr>
          <w:p>
            <w:pPr>
              <w:spacing w:after="0"/>
              <w:rPr>
                <w:sz w:val="22"/>
                <w:szCs w:val="22"/>
                <w:color w:val="auto"/>
              </w:rPr>
            </w:pPr>
          </w:p>
        </w:tc>
        <w:tc>
          <w:tcPr>
            <w:tcW w:w="25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Press Release dated April 28, 2026</w:t>
            </w:r>
          </w:p>
        </w:tc>
        <w:tc>
          <w:tcPr>
            <w:tcW w:w="7260" w:type="dxa"/>
            <w:vAlign w:val="bottom"/>
          </w:tcPr>
          <w:p>
            <w:pPr>
              <w:spacing w:after="0"/>
              <w:rPr>
                <w:sz w:val="22"/>
                <w:szCs w:val="22"/>
                <w:color w:val="auto"/>
              </w:rPr>
            </w:pPr>
          </w:p>
        </w:tc>
      </w:tr>
      <w:tr>
        <w:trPr>
          <w:trHeight w:val="304"/>
        </w:trPr>
        <w:tc>
          <w:tcPr>
            <w:tcW w:w="64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104</w:t>
            </w:r>
          </w:p>
        </w:tc>
        <w:tc>
          <w:tcPr>
            <w:tcW w:w="820" w:type="dxa"/>
            <w:vAlign w:val="bottom"/>
          </w:tcPr>
          <w:p>
            <w:pPr>
              <w:spacing w:after="0"/>
              <w:rPr>
                <w:sz w:val="24"/>
                <w:szCs w:val="24"/>
                <w:color w:val="auto"/>
              </w:rPr>
            </w:pPr>
          </w:p>
        </w:tc>
        <w:tc>
          <w:tcPr>
            <w:tcW w:w="97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317"/>
        </w:trPr>
        <w:tc>
          <w:tcPr>
            <w:tcW w:w="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7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sectPr>
      </w:pPr>
    </w:p>
    <w:bookmarkStart w:id="3" w:name="page4"/>
    <w:bookmarkEnd w:id="3"/>
    <w:p>
      <w:pPr>
        <w:jc w:val="center"/>
        <w:ind w:right="-499"/>
        <w:spacing w:after="0"/>
        <w:rPr>
          <w:sz w:val="20"/>
          <w:szCs w:val="20"/>
          <w:color w:val="auto"/>
        </w:rPr>
      </w:pPr>
      <w:r>
        <w:rPr>
          <w:rFonts w:ascii="Times New Roman" w:cs="Times New Roman" w:eastAsia="Times New Roman" w:hAnsi="Times New Roman"/>
          <w:sz w:val="22"/>
          <w:szCs w:val="22"/>
          <w:b w:val="1"/>
          <w:bCs w:val="1"/>
          <w:color w:val="auto"/>
        </w:rPr>
        <w:t>SIGNATURE</w:t>
      </w:r>
    </w:p>
    <w:p>
      <w:pPr>
        <w:spacing w:after="0" w:line="246"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43"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FAIR ISAAC CORPORATION</w:t>
      </w:r>
    </w:p>
    <w:p>
      <w:pPr>
        <w:spacing w:after="0" w:line="77" w:lineRule="exact"/>
        <w:rPr>
          <w:sz w:val="20"/>
          <w:szCs w:val="20"/>
          <w:color w:val="auto"/>
        </w:rPr>
      </w:pPr>
    </w:p>
    <w:p>
      <w:pPr>
        <w:ind w:left="4940"/>
        <w:spacing w:after="0"/>
        <w:tabs>
          <w:tab w:leader="none" w:pos="74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STEVEN P. WEBER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3502660</wp:posOffset>
            </wp:positionH>
            <wp:positionV relativeFrom="paragraph">
              <wp:posOffset>43180</wp:posOffset>
            </wp:positionV>
            <wp:extent cx="36347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634740" cy="8255"/>
                    </a:xfrm>
                    <a:prstGeom prst="rect">
                      <a:avLst/>
                    </a:prstGeom>
                    <a:noFill/>
                  </pic:spPr>
                </pic:pic>
              </a:graphicData>
            </a:graphic>
          </wp:anchor>
        </w:drawing>
      </w:r>
    </w:p>
    <w:p>
      <w:pPr>
        <w:spacing w:after="0" w:line="70" w:lineRule="exact"/>
        <w:rPr>
          <w:sz w:val="20"/>
          <w:szCs w:val="20"/>
          <w:color w:val="auto"/>
        </w:rPr>
      </w:pPr>
    </w:p>
    <w:p>
      <w:pPr>
        <w:jc w:val="center"/>
        <w:ind w:left="5480"/>
        <w:spacing w:after="0"/>
        <w:rPr>
          <w:sz w:val="20"/>
          <w:szCs w:val="20"/>
          <w:color w:val="auto"/>
        </w:rPr>
      </w:pPr>
      <w:r>
        <w:rPr>
          <w:rFonts w:ascii="Times New Roman" w:cs="Times New Roman" w:eastAsia="Times New Roman" w:hAnsi="Times New Roman"/>
          <w:sz w:val="18"/>
          <w:szCs w:val="18"/>
          <w:color w:val="auto"/>
        </w:rPr>
        <w:t>Steven P. Weber</w:t>
      </w:r>
    </w:p>
    <w:p>
      <w:pPr>
        <w:spacing w:after="0" w:line="77" w:lineRule="exact"/>
        <w:rPr>
          <w:sz w:val="20"/>
          <w:szCs w:val="20"/>
          <w:color w:val="auto"/>
        </w:rPr>
      </w:pPr>
    </w:p>
    <w:p>
      <w:pPr>
        <w:jc w:val="center"/>
        <w:ind w:left="548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347" w:lineRule="exact"/>
        <w:rPr>
          <w:sz w:val="20"/>
          <w:szCs w:val="20"/>
          <w:color w:val="auto"/>
        </w:rPr>
      </w:pPr>
    </w:p>
    <w:p>
      <w:pPr>
        <w:ind w:left="60"/>
        <w:spacing w:after="0"/>
        <w:tabs>
          <w:tab w:leader="none" w:pos="11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April 28, 2026</w:t>
      </w:r>
    </w:p>
    <w:p>
      <w:pPr>
        <w:sectPr>
          <w:pgSz w:w="11900" w:h="16838" w:orient="portrait"/>
          <w:cols w:equalWidth="0" w:num="1">
            <w:col w:w="10740"/>
          </w:cols>
          <w:pgMar w:left="320" w:top="1094" w:right="8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color w:val="auto"/>
        </w:rPr>
        <w:t>Exhibit 99.1</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FICO Announces Earnings of $11.14 per Share</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 Second Quarter Fiscal 2026</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Revenue of $692 million vs. $499 million in prior year</w:t>
      </w:r>
    </w:p>
    <w:p>
      <w:pPr>
        <w:spacing w:after="0" w:line="24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BOZEMAN, Mont.--(BUSINESS WIRE)--April 28, 2026--FICO (NYSE:FICO), a global analytics software leader, today announced results for its second fiscal quarter ended March 31,2026.</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Second Quarter Fiscal 2026 GAAP Results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 for the quarter totaled $264.5 million, or $11.14 per share, versus $162.6 million, or $6.59 per share, in the prior year period.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provided by operating activities for the quarter was $223.4 million versus $74.9 million in the prior year period.</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Second Quarter Fiscal 2026 Non-GAAP Results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Non-GAAP Net Income for the quarter was $296.8 million versus $192.7 million in the prior year period. Non-GAAP EPS for the quarter was $12.50 versus $7.81 in the prior year period. Free cash flow was $214.3 million for the current quarter versus $65.5 million in the prior year period. The Non-GAAP financial measures are described in the financial table captioned “Non-GAAP Results” and are reconciled to the corresponding GAAP results in the financial tables at the end of this release.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Second Quarter Fiscal 2026 GAAP Revenue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reported revenues of $691.7 million for the quarter as compared to $498.7 million reported in the prior year period, an increase of 39%.</w:t>
      </w:r>
    </w:p>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continue to deliver strong revenue and earnings growth,” said Will Lansing, chief executive officer. “We are pleased to announce that we are raising our full year guidance.”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for the second quarter of fiscal 2026 for the company’s two operating segments were as follows:</w:t>
      </w:r>
    </w:p>
    <w:p>
      <w:pPr>
        <w:spacing w:after="0" w:line="115" w:lineRule="exact"/>
        <w:rPr>
          <w:sz w:val="20"/>
          <w:szCs w:val="20"/>
          <w:color w:val="auto"/>
        </w:rPr>
      </w:pPr>
    </w:p>
    <w:p>
      <w:pPr>
        <w:jc w:val="both"/>
        <w:ind w:left="660" w:hanging="328"/>
        <w:spacing w:after="0" w:line="261"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Scores </w:t>
      </w:r>
      <w:r>
        <w:rPr>
          <w:rFonts w:ascii="Times New Roman" w:cs="Times New Roman" w:eastAsia="Times New Roman" w:hAnsi="Times New Roman"/>
          <w:sz w:val="18"/>
          <w:szCs w:val="18"/>
          <w:color w:val="auto"/>
        </w:rPr>
        <w:t>revenues, which include the company’s business-to-business (B2B) scoring solutions, and business-to-consumer (B2C) solutions, were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$475.0 million in the second quarter, compared to $297.0 million in the prior year period, an increase of 60%. B2B revenue increased 72%, primarily attributable to a higher mortgage origination scores unit price and an increase in volume of mortgage originations. B2C revenue increased 5% from the prior year period due mainly to increased revenue from our indirect channel partners.</w:t>
      </w:r>
    </w:p>
    <w:p>
      <w:pPr>
        <w:spacing w:after="0" w:line="17"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Software </w:t>
      </w:r>
      <w:r>
        <w:rPr>
          <w:rFonts w:ascii="Times New Roman" w:cs="Times New Roman" w:eastAsia="Times New Roman" w:hAnsi="Times New Roman"/>
          <w:sz w:val="18"/>
          <w:szCs w:val="18"/>
          <w:color w:val="auto"/>
        </w:rPr>
        <w:t>revenues, which include the company’s analytics and digital decisioning technology, were up 7% year-over-year with $216.7 million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second quarter, compared to $201.7 million in the prior year period. On March 31, 2026, Software Annual Recurring Revenue was up 10% year-over-year, consisting of a 49% increase in platform ARR and an 8% decline in non-platform ARR. The total Software Dollar-Based Net Retention Rate was 109% on March 31, 2026, with platform software at 136% and non-platform software at 90%.</w:t>
      </w:r>
    </w:p>
    <w:p>
      <w:pPr>
        <w:sectPr>
          <w:pgSz w:w="11900" w:h="16838" w:orient="portrait"/>
          <w:cols w:equalWidth="0" w:num="1">
            <w:col w:w="11240"/>
          </w:cols>
          <w:pgMar w:left="320" w:top="140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updating its previously provided guidance for fiscal 2026:</w:t>
      </w:r>
    </w:p>
    <w:p>
      <w:pPr>
        <w:spacing w:after="0" w:line="34" w:lineRule="exact"/>
        <w:rPr>
          <w:sz w:val="20"/>
          <w:szCs w:val="20"/>
          <w:color w:val="auto"/>
        </w:rPr>
      </w:pPr>
    </w:p>
    <w:tbl>
      <w:tblPr>
        <w:tblLayout w:type="fixed"/>
        <w:tblInd w:w="10" w:type="dxa"/>
        <w:tblCellMar>
          <w:top w:w="0" w:type="dxa"/>
          <w:left w:w="0" w:type="dxa"/>
          <w:bottom w:w="0" w:type="dxa"/>
          <w:right w:w="0" w:type="dxa"/>
        </w:tblCellMar>
      </w:tblPr>
      <w:tr>
        <w:trPr>
          <w:trHeight w:val="304"/>
        </w:trPr>
        <w:tc>
          <w:tcPr>
            <w:tcW w:w="4060" w:type="dxa"/>
            <w:vAlign w:val="bottom"/>
            <w:tcBorders>
              <w:top w:val="single" w:sz="8" w:color="auto"/>
              <w:left w:val="single" w:sz="8" w:color="auto"/>
              <w:bottom w:val="single" w:sz="8" w:color="auto"/>
              <w:right w:val="single" w:sz="8" w:color="auto"/>
            </w:tcBorders>
          </w:tcPr>
          <w:p>
            <w:pPr>
              <w:spacing w:after="0"/>
              <w:rPr>
                <w:sz w:val="24"/>
                <w:szCs w:val="24"/>
                <w:color w:val="auto"/>
              </w:rPr>
            </w:pPr>
          </w:p>
        </w:tc>
        <w:tc>
          <w:tcPr>
            <w:tcW w:w="35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Previous Fiscal 2026 Guidance</w:t>
            </w:r>
          </w:p>
        </w:tc>
        <w:tc>
          <w:tcPr>
            <w:tcW w:w="35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Updated Fiscal 2026 Guidance</w:t>
            </w:r>
          </w:p>
        </w:tc>
      </w:tr>
      <w:tr>
        <w:trPr>
          <w:trHeight w:val="234"/>
        </w:trPr>
        <w:tc>
          <w:tcPr>
            <w:tcW w:w="4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3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$2.35 billion</w:t>
            </w:r>
          </w:p>
        </w:tc>
        <w:tc>
          <w:tcPr>
            <w:tcW w:w="3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$2.45 billion</w:t>
            </w:r>
          </w:p>
        </w:tc>
      </w:tr>
      <w:tr>
        <w:trPr>
          <w:trHeight w:val="22"/>
        </w:trPr>
        <w:tc>
          <w:tcPr>
            <w:tcW w:w="40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520" w:type="dxa"/>
            <w:vAlign w:val="bottom"/>
            <w:tcBorders>
              <w:bottom w:val="single" w:sz="8" w:color="auto"/>
              <w:right w:val="single" w:sz="8" w:color="auto"/>
            </w:tcBorders>
          </w:tcPr>
          <w:p>
            <w:pPr>
              <w:spacing w:after="0" w:line="20" w:lineRule="exact"/>
              <w:rPr>
                <w:sz w:val="1"/>
                <w:szCs w:val="1"/>
                <w:color w:val="auto"/>
              </w:rPr>
            </w:pPr>
          </w:p>
        </w:tc>
        <w:tc>
          <w:tcPr>
            <w:tcW w:w="354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GAAP Net Income</w:t>
            </w:r>
          </w:p>
        </w:tc>
        <w:tc>
          <w:tcPr>
            <w:tcW w:w="3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$795 million</w:t>
            </w:r>
          </w:p>
        </w:tc>
        <w:tc>
          <w:tcPr>
            <w:tcW w:w="3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$825 million</w:t>
            </w:r>
          </w:p>
        </w:tc>
      </w:tr>
      <w:tr>
        <w:trPr>
          <w:trHeight w:val="22"/>
        </w:trPr>
        <w:tc>
          <w:tcPr>
            <w:tcW w:w="40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520" w:type="dxa"/>
            <w:vAlign w:val="bottom"/>
            <w:tcBorders>
              <w:bottom w:val="single" w:sz="8" w:color="auto"/>
              <w:right w:val="single" w:sz="8" w:color="auto"/>
            </w:tcBorders>
          </w:tcPr>
          <w:p>
            <w:pPr>
              <w:spacing w:after="0" w:line="20" w:lineRule="exact"/>
              <w:rPr>
                <w:sz w:val="1"/>
                <w:szCs w:val="1"/>
                <w:color w:val="auto"/>
              </w:rPr>
            </w:pPr>
          </w:p>
        </w:tc>
        <w:tc>
          <w:tcPr>
            <w:tcW w:w="354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GAAP EPS</w:t>
            </w:r>
          </w:p>
        </w:tc>
        <w:tc>
          <w:tcPr>
            <w:tcW w:w="3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$33.47</w:t>
            </w:r>
          </w:p>
        </w:tc>
        <w:tc>
          <w:tcPr>
            <w:tcW w:w="3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$35.60</w:t>
            </w:r>
          </w:p>
        </w:tc>
      </w:tr>
      <w:tr>
        <w:trPr>
          <w:trHeight w:val="22"/>
        </w:trPr>
        <w:tc>
          <w:tcPr>
            <w:tcW w:w="40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520" w:type="dxa"/>
            <w:vAlign w:val="bottom"/>
            <w:tcBorders>
              <w:bottom w:val="single" w:sz="8" w:color="auto"/>
              <w:right w:val="single" w:sz="8" w:color="auto"/>
            </w:tcBorders>
          </w:tcPr>
          <w:p>
            <w:pPr>
              <w:spacing w:after="0" w:line="20" w:lineRule="exact"/>
              <w:rPr>
                <w:sz w:val="1"/>
                <w:szCs w:val="1"/>
                <w:color w:val="auto"/>
              </w:rPr>
            </w:pPr>
          </w:p>
        </w:tc>
        <w:tc>
          <w:tcPr>
            <w:tcW w:w="354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Non-GAAP Net Income</w:t>
            </w:r>
          </w:p>
        </w:tc>
        <w:tc>
          <w:tcPr>
            <w:tcW w:w="3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$907 million</w:t>
            </w:r>
          </w:p>
        </w:tc>
        <w:tc>
          <w:tcPr>
            <w:tcW w:w="3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$946 million</w:t>
            </w:r>
          </w:p>
        </w:tc>
      </w:tr>
      <w:tr>
        <w:trPr>
          <w:trHeight w:val="22"/>
        </w:trPr>
        <w:tc>
          <w:tcPr>
            <w:tcW w:w="40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520" w:type="dxa"/>
            <w:vAlign w:val="bottom"/>
            <w:tcBorders>
              <w:bottom w:val="single" w:sz="8" w:color="auto"/>
              <w:right w:val="single" w:sz="8" w:color="auto"/>
            </w:tcBorders>
          </w:tcPr>
          <w:p>
            <w:pPr>
              <w:spacing w:after="0" w:line="20" w:lineRule="exact"/>
              <w:rPr>
                <w:sz w:val="1"/>
                <w:szCs w:val="1"/>
                <w:color w:val="auto"/>
              </w:rPr>
            </w:pPr>
          </w:p>
        </w:tc>
        <w:tc>
          <w:tcPr>
            <w:tcW w:w="354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Non-GAAP EPS</w:t>
            </w:r>
          </w:p>
        </w:tc>
        <w:tc>
          <w:tcPr>
            <w:tcW w:w="3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$38.17</w:t>
            </w:r>
          </w:p>
        </w:tc>
        <w:tc>
          <w:tcPr>
            <w:tcW w:w="3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$40.45</w:t>
            </w:r>
          </w:p>
        </w:tc>
      </w:tr>
      <w:tr>
        <w:trPr>
          <w:trHeight w:val="22"/>
        </w:trPr>
        <w:tc>
          <w:tcPr>
            <w:tcW w:w="40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520" w:type="dxa"/>
            <w:vAlign w:val="bottom"/>
            <w:tcBorders>
              <w:bottom w:val="single" w:sz="8" w:color="auto"/>
              <w:right w:val="single" w:sz="8" w:color="auto"/>
            </w:tcBorders>
          </w:tcPr>
          <w:p>
            <w:pPr>
              <w:spacing w:after="0" w:line="20" w:lineRule="exact"/>
              <w:rPr>
                <w:sz w:val="1"/>
                <w:szCs w:val="1"/>
                <w:color w:val="auto"/>
              </w:rPr>
            </w:pPr>
          </w:p>
        </w:tc>
        <w:tc>
          <w:tcPr>
            <w:tcW w:w="3540" w:type="dxa"/>
            <w:vAlign w:val="bottom"/>
            <w:tcBorders>
              <w:bottom w:val="single" w:sz="8" w:color="auto"/>
              <w:right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Non-GAAP financial measures are described in the financial table captioned “Reconciliation of Non-GAAP Guidance.”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to Host Conference Call</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will host a webcast on April 28, 2026, at 4:30 p.m. Eastern Time (1:30 p.m. Pacific Time) to report its second quarter fiscal 2026 results and provide various strategic and operational updates. The call can be accessed at FICO’s web site at www.fico.com/investors. A replay of the webcast will be available on our Past Events page through April 28, 2027.</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FICO</w:t>
      </w:r>
    </w:p>
    <w:p>
      <w:pPr>
        <w:spacing w:after="0" w:line="12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FICO (NYSE: FICO) powers decisions that help people and businesses around the world prosper. Founded in 1956, the company is a pioneer in the use of predictive analytics and data science to improve operational decisions. FICO holds more than 200 U.S. and foreign patents on technologies that increase profitability, customer satisfaction and growth for businesses in financial services, insurance, telecommunications, health care, retail and many other industries. Using FICO solutions, businesses in more than 80 countries do everything from protecting four billion payment cards from fraud, to improving financial inclusion, to increasing supply chain resiliency. The FICO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Score, used by 90% of top U.S. lenders, is the standard measure of consumer credit risk in the U.S. and has been made available in over 40 other countries, improving risk management, credit access and transparency.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Learn more at https://www.fico.com/en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Join the conversation at https://x.com/FICO_corp &amp; https://www.fico.com/blogs/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FICO news and media resources, visit https://www.fico.com/en/newsroom</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FICO is a registered trademark of Fair Isaac Corporation in the U.S. and other countries.</w:t>
      </w:r>
    </w:p>
    <w:p>
      <w:pPr>
        <w:sectPr>
          <w:pgSz w:w="11900" w:h="16838" w:orient="portrait"/>
          <w:cols w:equalWidth="0" w:num="1">
            <w:col w:w="11240"/>
          </w:cols>
          <w:pgMar w:left="320" w:top="1413"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Statement Concerning Forward-Looking Information</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Except for historical information contained herein, the statements contained in this news release that relate to FICO or its business are forward-looking statements within the meaning of the “safe harbor” provisions of the Private Securities Litigation Reform Act of 1995. These forward-looking statements are subject to risks and uncertainties that may cause actual results to differ materially, including the impact of macroeconomic conditions on FICO’s business, operations and personnel, the success of the Company’s business strategies, the maintenance of its existing relationships and ability to create new relationships with customers, distributors and other business partners, its ability to continue to develop new and enhanced products and services and to enter new markets, its ability to recruit and retain key technical and managerial personnel, competition, regulatory changes applicable to the use or costs of consumer credit and other data, the failure to protect such data, the failure to realize the anticipated benefits of any acquisitions, or divestitures, and material adverse developments or uncertainty in global economic conditions or in the markets or industries that the Company serves. Additional information on these risks and uncertainties and other factors that could affect FICO’s future results are described from time to time in FICO’s SEC reports, including its Annual Report on Form 10-K for the year ended September 30, 2025 and its subsequent filings with the SEC. If any of these risks or uncertainties materializes, FICO’s results could differ materially from its expectations. Investors are cautioned not to place undue reliance on any such forward-looking statements, which speak only as of the date they are made. FICO disclaims any intent or obligation to update these forward-looking statements, whether as a result of new information, future events or otherwise.</w:t>
      </w:r>
    </w:p>
    <w:p>
      <w:pPr>
        <w:sectPr>
          <w:pgSz w:w="11900" w:h="16838" w:orient="portrait"/>
          <w:cols w:equalWidth="0" w:num="1">
            <w:col w:w="11240"/>
          </w:cols>
          <w:pgMar w:left="320" w:top="1413"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FAIR ISAAC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40" w:type="dxa"/>
            <w:vAlign w:val="bottom"/>
          </w:tcPr>
          <w:p>
            <w:pPr>
              <w:spacing w:after="0"/>
              <w:rPr>
                <w:sz w:val="16"/>
                <w:szCs w:val="16"/>
                <w:color w:val="auto"/>
              </w:rPr>
            </w:pPr>
          </w:p>
        </w:tc>
        <w:tc>
          <w:tcPr>
            <w:tcW w:w="1700" w:type="dxa"/>
            <w:vAlign w:val="bottom"/>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September 30, 2025</w:t>
            </w:r>
          </w:p>
        </w:tc>
      </w:tr>
      <w:tr>
        <w:trPr>
          <w:trHeight w:val="23"/>
        </w:trPr>
        <w:tc>
          <w:tcPr>
            <w:tcW w:w="72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680" w:type="dxa"/>
            <w:vAlign w:val="bottom"/>
            <w:tcBorders>
              <w:bottom w:val="single" w:sz="8" w:color="auto"/>
            </w:tcBorders>
            <w:gridSpan w:val="4"/>
          </w:tcPr>
          <w:p>
            <w:pPr>
              <w:spacing w:after="0"/>
              <w:rPr>
                <w:sz w:val="2"/>
                <w:szCs w:val="2"/>
                <w:color w:val="auto"/>
              </w:rPr>
            </w:pPr>
          </w:p>
        </w:tc>
      </w:tr>
      <w:tr>
        <w:trPr>
          <w:trHeight w:val="190"/>
        </w:trPr>
        <w:tc>
          <w:tcPr>
            <w:tcW w:w="7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680" w:type="dxa"/>
            <w:vAlign w:val="bottom"/>
            <w:gridSpan w:val="4"/>
          </w:tcPr>
          <w:p>
            <w:pPr>
              <w:jc w:val="right"/>
              <w:ind w:right="1451"/>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6"/>
        </w:trPr>
        <w:tc>
          <w:tcPr>
            <w:tcW w:w="7260" w:type="dxa"/>
            <w:vAlign w:val="bottom"/>
            <w:shd w:val="clear" w:color="auto" w:fill="CCEEFF"/>
          </w:tcPr>
          <w:p>
            <w:pPr>
              <w:ind w:left="340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r>
      <w:tr>
        <w:trPr>
          <w:trHeight w:val="230"/>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229"/>
        </w:trPr>
        <w:tc>
          <w:tcPr>
            <w:tcW w:w="7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219,419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134,136</w:t>
            </w:r>
          </w:p>
        </w:tc>
      </w:tr>
      <w:tr>
        <w:trPr>
          <w:trHeight w:val="230"/>
        </w:trPr>
        <w:tc>
          <w:tcPr>
            <w:tcW w:w="7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3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619,957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529,148</w:t>
            </w:r>
          </w:p>
        </w:tc>
      </w:tr>
      <w:tr>
        <w:trPr>
          <w:trHeight w:val="229"/>
        </w:trPr>
        <w:tc>
          <w:tcPr>
            <w:tcW w:w="7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0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61,397</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41,881</w:t>
            </w:r>
          </w:p>
        </w:tc>
      </w:tr>
      <w:tr>
        <w:trPr>
          <w:trHeight w:val="223"/>
        </w:trPr>
        <w:tc>
          <w:tcPr>
            <w:tcW w:w="72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current assets</w:t>
            </w:r>
          </w:p>
        </w:tc>
        <w:tc>
          <w:tcPr>
            <w:tcW w:w="3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900,773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705,165</w:t>
            </w:r>
          </w:p>
        </w:tc>
      </w:tr>
      <w:tr>
        <w:trPr>
          <w:trHeight w:val="229"/>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3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53,046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54,625</w:t>
            </w:r>
          </w:p>
        </w:tc>
      </w:tr>
      <w:tr>
        <w:trPr>
          <w:trHeight w:val="229"/>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79,623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67,713</w:t>
            </w:r>
          </w:p>
        </w:tc>
      </w:tr>
      <w:tr>
        <w:trPr>
          <w:trHeight w:val="230"/>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25,025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26,213</w:t>
            </w:r>
          </w:p>
        </w:tc>
      </w:tr>
      <w:tr>
        <w:trPr>
          <w:trHeight w:val="229"/>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781,390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783,340</w:t>
            </w:r>
          </w:p>
        </w:tc>
      </w:tr>
      <w:tr>
        <w:trPr>
          <w:trHeight w:val="229"/>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0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208,392</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231,077</w:t>
            </w:r>
          </w:p>
        </w:tc>
      </w:tr>
      <w:tr>
        <w:trPr>
          <w:trHeight w:val="223"/>
        </w:trPr>
        <w:tc>
          <w:tcPr>
            <w:tcW w:w="72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2,048,249</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1,868,133</w:t>
            </w:r>
          </w:p>
        </w:tc>
      </w:tr>
      <w:tr>
        <w:trPr>
          <w:trHeight w:val="20"/>
        </w:trPr>
        <w:tc>
          <w:tcPr>
            <w:tcW w:w="72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r>
        <w:trPr>
          <w:trHeight w:val="197"/>
        </w:trPr>
        <w:tc>
          <w:tcPr>
            <w:tcW w:w="7260" w:type="dxa"/>
            <w:vAlign w:val="bottom"/>
            <w:shd w:val="clear" w:color="auto" w:fill="CCEEFF"/>
          </w:tcPr>
          <w:p>
            <w:pPr>
              <w:ind w:left="226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30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r>
      <w:tr>
        <w:trPr>
          <w:trHeight w:val="229"/>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230"/>
        </w:trPr>
        <w:tc>
          <w:tcPr>
            <w:tcW w:w="7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 and other accrued liabilities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134,868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146,933</w:t>
            </w:r>
          </w:p>
        </w:tc>
      </w:tr>
      <w:tr>
        <w:trPr>
          <w:trHeight w:val="229"/>
        </w:trPr>
        <w:tc>
          <w:tcPr>
            <w:tcW w:w="7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compensation and employee benefits</w:t>
            </w:r>
          </w:p>
        </w:tc>
        <w:tc>
          <w:tcPr>
            <w:tcW w:w="3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87,259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115,369</w:t>
            </w:r>
          </w:p>
        </w:tc>
      </w:tr>
      <w:tr>
        <w:trPr>
          <w:trHeight w:val="229"/>
        </w:trPr>
        <w:tc>
          <w:tcPr>
            <w:tcW w:w="7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revenue</w:t>
            </w:r>
          </w:p>
        </w:tc>
        <w:tc>
          <w:tcPr>
            <w:tcW w:w="3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183,163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187,372</w:t>
            </w:r>
          </w:p>
        </w:tc>
      </w:tr>
      <w:tr>
        <w:trPr>
          <w:trHeight w:val="230"/>
        </w:trPr>
        <w:tc>
          <w:tcPr>
            <w:tcW w:w="7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maturities on debt</w:t>
            </w:r>
          </w:p>
        </w:tc>
        <w:tc>
          <w:tcPr>
            <w:tcW w:w="300" w:type="dxa"/>
            <w:vAlign w:val="bottom"/>
          </w:tcPr>
          <w:p>
            <w:pPr>
              <w:spacing w:after="0"/>
              <w:rPr>
                <w:sz w:val="19"/>
                <w:szCs w:val="19"/>
                <w:color w:val="auto"/>
              </w:rPr>
            </w:pPr>
          </w:p>
        </w:tc>
        <w:tc>
          <w:tcPr>
            <w:tcW w:w="1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399,541</w:t>
            </w:r>
          </w:p>
        </w:tc>
      </w:tr>
      <w:tr>
        <w:trPr>
          <w:trHeight w:val="223"/>
        </w:trPr>
        <w:tc>
          <w:tcPr>
            <w:tcW w:w="7260" w:type="dxa"/>
            <w:vAlign w:val="bottom"/>
            <w:tcBorders>
              <w:top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00" w:type="dxa"/>
            <w:vAlign w:val="bottom"/>
            <w:tcBorders>
              <w:top w:val="single" w:sz="8" w:color="auto"/>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405,290</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849,215</w:t>
            </w:r>
          </w:p>
        </w:tc>
      </w:tr>
      <w:tr>
        <w:trPr>
          <w:trHeight w:val="229"/>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3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3,639,063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2,656,150</w:t>
            </w:r>
          </w:p>
        </w:tc>
      </w:tr>
      <w:tr>
        <w:trPr>
          <w:trHeight w:val="230"/>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19,187</w:t>
            </w:r>
          </w:p>
        </w:tc>
      </w:tr>
      <w:tr>
        <w:trPr>
          <w:trHeight w:val="230"/>
        </w:trPr>
        <w:tc>
          <w:tcPr>
            <w:tcW w:w="7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3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87,991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89,365</w:t>
            </w:r>
          </w:p>
        </w:tc>
      </w:tr>
      <w:tr>
        <w:trPr>
          <w:trHeight w:val="223"/>
        </w:trPr>
        <w:tc>
          <w:tcPr>
            <w:tcW w:w="72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liabilities</w:t>
            </w:r>
          </w:p>
        </w:tc>
        <w:tc>
          <w:tcPr>
            <w:tcW w:w="3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4,149,899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3,613,917</w:t>
            </w:r>
          </w:p>
        </w:tc>
      </w:tr>
      <w:tr>
        <w:trPr>
          <w:trHeight w:val="270"/>
        </w:trPr>
        <w:tc>
          <w:tcPr>
            <w:tcW w:w="72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700" w:type="dxa"/>
            <w:vAlign w:val="bottom"/>
          </w:tcPr>
          <w:p>
            <w:pPr>
              <w:spacing w:after="0"/>
              <w:rPr>
                <w:sz w:val="23"/>
                <w:szCs w:val="23"/>
                <w:color w:val="auto"/>
              </w:rPr>
            </w:pPr>
          </w:p>
        </w:tc>
      </w:tr>
      <w:tr>
        <w:trPr>
          <w:trHeight w:val="230"/>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deficit</w:t>
            </w:r>
          </w:p>
        </w:tc>
        <w:tc>
          <w:tcPr>
            <w:tcW w:w="30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(2,101,650)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(1,745,784)</w:t>
            </w:r>
          </w:p>
        </w:tc>
      </w:tr>
      <w:tr>
        <w:trPr>
          <w:trHeight w:val="223"/>
        </w:trPr>
        <w:tc>
          <w:tcPr>
            <w:tcW w:w="72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liabilities and stockholders’ deficit</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2,048,249</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1,868,133</w:t>
            </w:r>
          </w:p>
        </w:tc>
      </w:tr>
      <w:tr>
        <w:trPr>
          <w:trHeight w:val="20"/>
        </w:trPr>
        <w:tc>
          <w:tcPr>
            <w:tcW w:w="7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1413"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FAIR ISAAC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4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Quarter Ended March 31,</w:t>
            </w:r>
          </w:p>
        </w:tc>
        <w:tc>
          <w:tcPr>
            <w:tcW w:w="380" w:type="dxa"/>
            <w:vAlign w:val="bottom"/>
          </w:tcPr>
          <w:p>
            <w:pPr>
              <w:spacing w:after="0"/>
              <w:rPr>
                <w:sz w:val="16"/>
                <w:szCs w:val="16"/>
                <w:color w:val="auto"/>
              </w:rPr>
            </w:pPr>
          </w:p>
        </w:tc>
        <w:tc>
          <w:tcPr>
            <w:tcW w:w="2880" w:type="dxa"/>
            <w:vAlign w:val="bottom"/>
            <w:gridSpan w:val="4"/>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Six Months Ended March 31,</w:t>
            </w:r>
          </w:p>
        </w:tc>
        <w:tc>
          <w:tcPr>
            <w:tcW w:w="0" w:type="dxa"/>
            <w:vAlign w:val="bottom"/>
          </w:tcPr>
          <w:p>
            <w:pPr>
              <w:spacing w:after="0"/>
              <w:rPr>
                <w:sz w:val="1"/>
                <w:szCs w:val="1"/>
                <w:color w:val="auto"/>
              </w:rPr>
            </w:pPr>
          </w:p>
        </w:tc>
      </w:tr>
      <w:tr>
        <w:trPr>
          <w:trHeight w:val="23"/>
        </w:trPr>
        <w:tc>
          <w:tcPr>
            <w:tcW w:w="46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6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96"/>
        </w:trPr>
        <w:tc>
          <w:tcPr>
            <w:tcW w:w="4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4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On-premises and SaaS software</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199,231</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183,826</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387,452</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369,837</w:t>
            </w: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Professional services</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17,870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36,677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36,152</w:t>
            </w:r>
          </w:p>
        </w:tc>
        <w:tc>
          <w:tcPr>
            <w:tcW w:w="0" w:type="dxa"/>
            <w:vAlign w:val="bottom"/>
          </w:tcPr>
          <w:p>
            <w:pPr>
              <w:spacing w:after="0"/>
              <w:rPr>
                <w:sz w:val="1"/>
                <w:szCs w:val="1"/>
                <w:color w:val="auto"/>
              </w:rPr>
            </w:pPr>
          </w:p>
        </w:tc>
      </w:tr>
      <w:tr>
        <w:trPr>
          <w:trHeight w:val="229"/>
        </w:trPr>
        <w:tc>
          <w:tcPr>
            <w:tcW w:w="46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Scores</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474,973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297,039</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779,507</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532,714</w:t>
            </w:r>
          </w:p>
        </w:tc>
        <w:tc>
          <w:tcPr>
            <w:tcW w:w="0" w:type="dxa"/>
            <w:vAlign w:val="bottom"/>
          </w:tcPr>
          <w:p>
            <w:pPr>
              <w:spacing w:after="0"/>
              <w:rPr>
                <w:sz w:val="1"/>
                <w:szCs w:val="1"/>
                <w:color w:val="auto"/>
              </w:rPr>
            </w:pPr>
          </w:p>
        </w:tc>
      </w:tr>
      <w:tr>
        <w:trPr>
          <w:trHeight w:val="223"/>
        </w:trPr>
        <w:tc>
          <w:tcPr>
            <w:tcW w:w="46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revenues</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691,677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498,735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1,203,636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938,703</w:t>
            </w:r>
          </w:p>
        </w:tc>
        <w:tc>
          <w:tcPr>
            <w:tcW w:w="0" w:type="dxa"/>
            <w:vAlign w:val="bottom"/>
          </w:tcPr>
          <w:p>
            <w:pPr>
              <w:spacing w:after="0"/>
              <w:rPr>
                <w:sz w:val="1"/>
                <w:szCs w:val="1"/>
                <w:color w:val="auto"/>
              </w:rPr>
            </w:pPr>
          </w:p>
        </w:tc>
      </w:tr>
      <w:tr>
        <w:trPr>
          <w:trHeight w:val="229"/>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revenues</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91,199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87,630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178,460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174,975</w:t>
            </w:r>
          </w:p>
        </w:tc>
        <w:tc>
          <w:tcPr>
            <w:tcW w:w="0" w:type="dxa"/>
            <w:vAlign w:val="bottom"/>
          </w:tcPr>
          <w:p>
            <w:pPr>
              <w:spacing w:after="0"/>
              <w:rPr>
                <w:sz w:val="1"/>
                <w:szCs w:val="1"/>
                <w:color w:val="auto"/>
              </w:rPr>
            </w:pPr>
          </w:p>
        </w:tc>
      </w:tr>
      <w:tr>
        <w:trPr>
          <w:trHeight w:val="230"/>
        </w:trPr>
        <w:tc>
          <w:tcPr>
            <w:tcW w:w="4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53,916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45,037</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103,828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90,182</w:t>
            </w: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144,097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120,420</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284,834</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248,370</w:t>
            </w:r>
          </w:p>
        </w:tc>
        <w:tc>
          <w:tcPr>
            <w:tcW w:w="0" w:type="dxa"/>
            <w:vAlign w:val="bottom"/>
          </w:tcPr>
          <w:p>
            <w:pPr>
              <w:spacing w:after="0"/>
              <w:rPr>
                <w:sz w:val="1"/>
                <w:szCs w:val="1"/>
                <w:color w:val="auto"/>
              </w:rPr>
            </w:pPr>
          </w:p>
        </w:tc>
      </w:tr>
      <w:tr>
        <w:trPr>
          <w:trHeight w:val="223"/>
        </w:trPr>
        <w:tc>
          <w:tcPr>
            <w:tcW w:w="46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289,212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253,087</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567,122</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513,527</w:t>
            </w:r>
          </w:p>
        </w:tc>
        <w:tc>
          <w:tcPr>
            <w:tcW w:w="0" w:type="dxa"/>
            <w:vAlign w:val="bottom"/>
          </w:tcPr>
          <w:p>
            <w:pPr>
              <w:spacing w:after="0"/>
              <w:rPr>
                <w:sz w:val="1"/>
                <w:szCs w:val="1"/>
                <w:color w:val="auto"/>
              </w:rPr>
            </w:pPr>
          </w:p>
        </w:tc>
      </w:tr>
      <w:tr>
        <w:trPr>
          <w:trHeight w:val="223"/>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402,465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245,648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636,514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425,176</w:t>
            </w:r>
          </w:p>
        </w:tc>
        <w:tc>
          <w:tcPr>
            <w:tcW w:w="0" w:type="dxa"/>
            <w:vAlign w:val="bottom"/>
          </w:tcPr>
          <w:p>
            <w:pPr>
              <w:spacing w:after="0"/>
              <w:rPr>
                <w:sz w:val="1"/>
                <w:szCs w:val="1"/>
                <w:color w:val="auto"/>
              </w:rPr>
            </w:pPr>
          </w:p>
        </w:tc>
      </w:tr>
      <w:tr>
        <w:trPr>
          <w:trHeight w:val="230"/>
        </w:trPr>
        <w:tc>
          <w:tcPr>
            <w:tcW w:w="4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(46,436)</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(32,632)</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(88,554)</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(62,031)</w:t>
            </w:r>
          </w:p>
        </w:tc>
        <w:tc>
          <w:tcPr>
            <w:tcW w:w="0" w:type="dxa"/>
            <w:vAlign w:val="bottom"/>
          </w:tcPr>
          <w:p>
            <w:pPr>
              <w:spacing w:after="0"/>
              <w:rPr>
                <w:sz w:val="1"/>
                <w:szCs w:val="1"/>
                <w:color w:val="auto"/>
              </w:rPr>
            </w:pPr>
          </w:p>
        </w:tc>
      </w:tr>
      <w:tr>
        <w:trPr>
          <w:trHeight w:val="223"/>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356,029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213,016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547,960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363,145</w:t>
            </w:r>
          </w:p>
        </w:tc>
        <w:tc>
          <w:tcPr>
            <w:tcW w:w="0" w:type="dxa"/>
            <w:vAlign w:val="bottom"/>
          </w:tcPr>
          <w:p>
            <w:pPr>
              <w:spacing w:after="0"/>
              <w:rPr>
                <w:sz w:val="1"/>
                <w:szCs w:val="1"/>
                <w:color w:val="auto"/>
              </w:rPr>
            </w:pPr>
          </w:p>
        </w:tc>
      </w:tr>
      <w:tr>
        <w:trPr>
          <w:trHeight w:val="230"/>
        </w:trPr>
        <w:tc>
          <w:tcPr>
            <w:tcW w:w="4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91,571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50,401</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125,129</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48,002</w:t>
            </w:r>
          </w:p>
        </w:tc>
        <w:tc>
          <w:tcPr>
            <w:tcW w:w="0" w:type="dxa"/>
            <w:vAlign w:val="bottom"/>
          </w:tcPr>
          <w:p>
            <w:pPr>
              <w:spacing w:after="0"/>
              <w:rPr>
                <w:sz w:val="1"/>
                <w:szCs w:val="1"/>
                <w:color w:val="auto"/>
              </w:rPr>
            </w:pPr>
          </w:p>
        </w:tc>
      </w:tr>
      <w:tr>
        <w:trPr>
          <w:trHeight w:val="248"/>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264,458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162,615</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422,831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315,143</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Earnings per share:</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66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46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bottom w:val="single" w:sz="8" w:color="CCEEFF"/>
            </w:tcBorders>
            <w:vMerge w:val="restart"/>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60" w:type="dxa"/>
            <w:vAlign w:val="bottom"/>
            <w:vMerge w:val="continue"/>
          </w:tcPr>
          <w:p>
            <w:pPr>
              <w:spacing w:after="0"/>
              <w:rPr>
                <w:sz w:val="17"/>
                <w:szCs w:val="17"/>
                <w:color w:val="auto"/>
              </w:rPr>
            </w:pPr>
          </w:p>
        </w:tc>
        <w:tc>
          <w:tcPr>
            <w:tcW w:w="380" w:type="dxa"/>
            <w:vAlign w:val="bottom"/>
            <w:tcBorders>
              <w:bottom w:val="single" w:sz="8" w:color="auto"/>
            </w:tcBorders>
          </w:tcPr>
          <w:p>
            <w:pPr>
              <w:jc w:val="right"/>
              <w:ind w:right="17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11.14</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6.59</w:t>
            </w:r>
          </w:p>
        </w:tc>
        <w:tc>
          <w:tcPr>
            <w:tcW w:w="80" w:type="dxa"/>
            <w:vAlign w:val="bottom"/>
          </w:tcPr>
          <w:p>
            <w:pPr>
              <w:spacing w:after="0"/>
              <w:rPr>
                <w:sz w:val="17"/>
                <w:szCs w:val="17"/>
                <w:color w:val="auto"/>
              </w:rPr>
            </w:pPr>
          </w:p>
        </w:tc>
        <w:tc>
          <w:tcPr>
            <w:tcW w:w="380" w:type="dxa"/>
            <w:vAlign w:val="bottom"/>
            <w:tcBorders>
              <w:bottom w:val="single" w:sz="8" w:color="auto"/>
            </w:tcBorders>
          </w:tcPr>
          <w:p>
            <w:pPr>
              <w:jc w:val="right"/>
              <w:ind w:right="17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17.73</w:t>
            </w:r>
          </w:p>
        </w:tc>
        <w:tc>
          <w:tcPr>
            <w:tcW w:w="120" w:type="dxa"/>
            <w:vAlign w:val="bottom"/>
          </w:tcPr>
          <w:p>
            <w:pPr>
              <w:spacing w:after="0"/>
              <w:rPr>
                <w:sz w:val="17"/>
                <w:szCs w:val="17"/>
                <w:color w:val="auto"/>
              </w:rPr>
            </w:pPr>
          </w:p>
        </w:tc>
        <w:tc>
          <w:tcPr>
            <w:tcW w:w="360" w:type="dxa"/>
            <w:vAlign w:val="bottom"/>
            <w:tcBorders>
              <w:bottom w:val="single" w:sz="8" w:color="auto"/>
            </w:tcBorders>
          </w:tcPr>
          <w:p>
            <w:pPr>
              <w:jc w:val="right"/>
              <w:ind w:right="1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12.73</w:t>
            </w:r>
          </w:p>
        </w:tc>
        <w:tc>
          <w:tcPr>
            <w:tcW w:w="0" w:type="dxa"/>
            <w:vAlign w:val="bottom"/>
          </w:tcPr>
          <w:p>
            <w:pPr>
              <w:spacing w:after="0"/>
              <w:rPr>
                <w:sz w:val="1"/>
                <w:szCs w:val="1"/>
                <w:color w:val="auto"/>
              </w:rPr>
            </w:pPr>
          </w:p>
        </w:tc>
      </w:tr>
      <w:tr>
        <w:trPr>
          <w:trHeight w:val="20"/>
        </w:trPr>
        <w:tc>
          <w:tcPr>
            <w:tcW w:w="46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Shares used in computing earnings per share:</w:t>
            </w: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23,628</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24,389</w:t>
            </w:r>
          </w:p>
        </w:tc>
        <w:tc>
          <w:tcPr>
            <w:tcW w:w="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23,676</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24,383</w:t>
            </w:r>
          </w:p>
        </w:tc>
        <w:tc>
          <w:tcPr>
            <w:tcW w:w="0" w:type="dxa"/>
            <w:vAlign w:val="bottom"/>
          </w:tcPr>
          <w:p>
            <w:pPr>
              <w:spacing w:after="0"/>
              <w:rPr>
                <w:sz w:val="1"/>
                <w:szCs w:val="1"/>
                <w:color w:val="auto"/>
              </w:rPr>
            </w:pPr>
          </w:p>
        </w:tc>
      </w:tr>
      <w:tr>
        <w:trPr>
          <w:trHeight w:val="20"/>
        </w:trPr>
        <w:tc>
          <w:tcPr>
            <w:tcW w:w="46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6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3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23,748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24,685</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23,854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24,756</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1413"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FAIR ISAAC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20" w:type="dxa"/>
            <w:vAlign w:val="bottom"/>
          </w:tcPr>
          <w:p>
            <w:pPr>
              <w:spacing w:after="0"/>
              <w:rPr>
                <w:sz w:val="16"/>
                <w:szCs w:val="16"/>
                <w:color w:val="auto"/>
              </w:rPr>
            </w:pPr>
          </w:p>
        </w:tc>
        <w:tc>
          <w:tcPr>
            <w:tcW w:w="3200" w:type="dxa"/>
            <w:vAlign w:val="bottom"/>
            <w:gridSpan w:val="4"/>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Six Months Ended March 31,</w:t>
            </w:r>
          </w:p>
        </w:tc>
        <w:tc>
          <w:tcPr>
            <w:tcW w:w="780" w:type="dxa"/>
            <w:vAlign w:val="bottom"/>
          </w:tcPr>
          <w:p>
            <w:pPr>
              <w:spacing w:after="0"/>
              <w:rPr>
                <w:sz w:val="16"/>
                <w:szCs w:val="16"/>
                <w:color w:val="auto"/>
              </w:rPr>
            </w:pPr>
          </w:p>
        </w:tc>
      </w:tr>
      <w:tr>
        <w:trPr>
          <w:trHeight w:val="23"/>
        </w:trPr>
        <w:tc>
          <w:tcPr>
            <w:tcW w:w="70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186"/>
        </w:trPr>
        <w:tc>
          <w:tcPr>
            <w:tcW w:w="70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780" w:type="dxa"/>
            <w:vAlign w:val="bottom"/>
          </w:tcPr>
          <w:p>
            <w:pPr>
              <w:spacing w:after="0"/>
              <w:rPr>
                <w:sz w:val="16"/>
                <w:szCs w:val="16"/>
                <w:color w:val="auto"/>
              </w:rPr>
            </w:pPr>
          </w:p>
        </w:tc>
      </w:tr>
      <w:tr>
        <w:trPr>
          <w:trHeight w:val="23"/>
        </w:trPr>
        <w:tc>
          <w:tcPr>
            <w:tcW w:w="70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gridSpan w:val="3"/>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186"/>
        </w:trPr>
        <w:tc>
          <w:tcPr>
            <w:tcW w:w="70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80" w:type="dxa"/>
            <w:vAlign w:val="bottom"/>
            <w:gridSpan w:val="3"/>
          </w:tcPr>
          <w:p>
            <w:pPr>
              <w:jc w:val="right"/>
              <w:ind w:right="67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80" w:type="dxa"/>
            <w:vAlign w:val="bottom"/>
          </w:tcPr>
          <w:p>
            <w:pPr>
              <w:spacing w:after="0"/>
              <w:rPr>
                <w:sz w:val="16"/>
                <w:szCs w:val="16"/>
                <w:color w:val="auto"/>
              </w:rPr>
            </w:pPr>
          </w:p>
        </w:tc>
      </w:tr>
      <w:tr>
        <w:trPr>
          <w:trHeight w:val="23"/>
        </w:trPr>
        <w:tc>
          <w:tcPr>
            <w:tcW w:w="70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3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29"/>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120" w:type="dxa"/>
            <w:vAlign w:val="bottom"/>
          </w:tcPr>
          <w:p>
            <w:pPr>
              <w:jc w:val="right"/>
              <w:ind w:right="939"/>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422,831</w:t>
            </w:r>
          </w:p>
        </w:tc>
        <w:tc>
          <w:tcPr>
            <w:tcW w:w="120" w:type="dxa"/>
            <w:vAlign w:val="bottom"/>
          </w:tcPr>
          <w:p>
            <w:pPr>
              <w:spacing w:after="0"/>
              <w:rPr>
                <w:sz w:val="19"/>
                <w:szCs w:val="19"/>
                <w:color w:val="auto"/>
              </w:rPr>
            </w:pPr>
          </w:p>
        </w:tc>
        <w:tc>
          <w:tcPr>
            <w:tcW w:w="1160" w:type="dxa"/>
            <w:vAlign w:val="bottom"/>
          </w:tcPr>
          <w:p>
            <w:pPr>
              <w:jc w:val="right"/>
              <w:ind w:right="95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315,143</w:t>
            </w:r>
          </w:p>
        </w:tc>
      </w:tr>
      <w:tr>
        <w:trPr>
          <w:trHeight w:val="22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30"/>
        </w:trPr>
        <w:tc>
          <w:tcPr>
            <w:tcW w:w="7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7,905</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6,950</w:t>
            </w:r>
          </w:p>
        </w:tc>
      </w:tr>
      <w:tr>
        <w:trPr>
          <w:trHeight w:val="229"/>
        </w:trPr>
        <w:tc>
          <w:tcPr>
            <w:tcW w:w="7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Share-based compensation</w:t>
            </w:r>
          </w:p>
        </w:tc>
        <w:tc>
          <w:tcPr>
            <w:tcW w:w="1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89,579</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82,358</w:t>
            </w:r>
          </w:p>
        </w:tc>
      </w:tr>
      <w:tr>
        <w:trPr>
          <w:trHeight w:val="229"/>
        </w:trPr>
        <w:tc>
          <w:tcPr>
            <w:tcW w:w="7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(147,283)</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(132,202)</w:t>
            </w:r>
          </w:p>
        </w:tc>
      </w:tr>
      <w:tr>
        <w:trPr>
          <w:trHeight w:val="230"/>
        </w:trPr>
        <w:tc>
          <w:tcPr>
            <w:tcW w:w="7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net</w:t>
            </w:r>
          </w:p>
        </w:tc>
        <w:tc>
          <w:tcPr>
            <w:tcW w:w="1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24,408</w:t>
            </w:r>
          </w:p>
        </w:tc>
        <w:tc>
          <w:tcPr>
            <w:tcW w:w="12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(3,334)</w:t>
            </w:r>
          </w:p>
        </w:tc>
      </w:tr>
      <w:tr>
        <w:trPr>
          <w:trHeight w:val="223"/>
        </w:trPr>
        <w:tc>
          <w:tcPr>
            <w:tcW w:w="7020" w:type="dxa"/>
            <w:vAlign w:val="bottom"/>
            <w:tcBorders>
              <w:bottom w:val="single" w:sz="8" w:color="CCEEFF"/>
            </w:tcBorders>
          </w:tcPr>
          <w:p>
            <w:pPr>
              <w:ind w:left="10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397,440</w:t>
            </w:r>
          </w:p>
        </w:tc>
        <w:tc>
          <w:tcPr>
            <w:tcW w:w="12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268,915</w:t>
            </w:r>
          </w:p>
        </w:tc>
      </w:tr>
      <w:tr>
        <w:trPr>
          <w:trHeight w:val="21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29"/>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(2,960)</w:t>
            </w:r>
          </w:p>
        </w:tc>
      </w:tr>
      <w:tr>
        <w:trPr>
          <w:trHeight w:val="23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internal-use software costs</w:t>
            </w:r>
          </w:p>
        </w:tc>
        <w:tc>
          <w:tcPr>
            <w:tcW w:w="1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(17,256)</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(13,638)</w:t>
            </w:r>
          </w:p>
        </w:tc>
      </w:tr>
      <w:tr>
        <w:trPr>
          <w:trHeight w:val="229"/>
        </w:trPr>
        <w:tc>
          <w:tcPr>
            <w:tcW w:w="7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activity from marketable securities</w:t>
            </w:r>
          </w:p>
        </w:tc>
        <w:tc>
          <w:tcPr>
            <w:tcW w:w="1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(3,400)</w:t>
            </w:r>
          </w:p>
        </w:tc>
        <w:tc>
          <w:tcPr>
            <w:tcW w:w="12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(3,285)</w:t>
            </w:r>
          </w:p>
        </w:tc>
      </w:tr>
      <w:tr>
        <w:trPr>
          <w:trHeight w:val="223"/>
        </w:trPr>
        <w:tc>
          <w:tcPr>
            <w:tcW w:w="702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(21,148)</w:t>
            </w:r>
          </w:p>
        </w:tc>
        <w:tc>
          <w:tcPr>
            <w:tcW w:w="12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(19,883)</w:t>
            </w:r>
          </w:p>
        </w:tc>
      </w:tr>
      <w:tr>
        <w:trPr>
          <w:trHeight w:val="210"/>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2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revolving line of credit and term loans</w:t>
            </w:r>
          </w:p>
        </w:tc>
        <w:tc>
          <w:tcPr>
            <w:tcW w:w="1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880,000</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450,000</w:t>
            </w:r>
          </w:p>
        </w:tc>
      </w:tr>
      <w:tr>
        <w:trPr>
          <w:trHeight w:val="230"/>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Payments on revolving line of credit and term loans</w:t>
            </w:r>
          </w:p>
        </w:tc>
        <w:tc>
          <w:tcPr>
            <w:tcW w:w="1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(890,000)</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(132,500)</w:t>
            </w:r>
          </w:p>
        </w:tc>
      </w:tr>
      <w:tr>
        <w:trPr>
          <w:trHeight w:val="22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issuance of senior notes</w:t>
            </w:r>
          </w:p>
        </w:tc>
        <w:tc>
          <w:tcPr>
            <w:tcW w:w="1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1,000,000</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Payments on senior notes</w:t>
            </w:r>
          </w:p>
        </w:tc>
        <w:tc>
          <w:tcPr>
            <w:tcW w:w="1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issuance of treasury stock under employee stock plans</w:t>
            </w:r>
          </w:p>
        </w:tc>
        <w:tc>
          <w:tcPr>
            <w:tcW w:w="1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14,935</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16,062</w:t>
            </w:r>
          </w:p>
        </w:tc>
      </w:tr>
      <w:tr>
        <w:trPr>
          <w:trHeight w:val="230"/>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Taxes paid related to net share settlement of equity awards</w:t>
            </w:r>
          </w:p>
        </w:tc>
        <w:tc>
          <w:tcPr>
            <w:tcW w:w="1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(105,767)</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(198,531)</w:t>
            </w:r>
          </w:p>
        </w:tc>
      </w:tr>
      <w:tr>
        <w:trPr>
          <w:trHeight w:val="23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(776,565)</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(379,738)</w:t>
            </w:r>
          </w:p>
        </w:tc>
      </w:tr>
      <w:tr>
        <w:trPr>
          <w:trHeight w:val="230"/>
        </w:trPr>
        <w:tc>
          <w:tcPr>
            <w:tcW w:w="7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1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(11,847)</w:t>
            </w:r>
          </w:p>
        </w:tc>
        <w:tc>
          <w:tcPr>
            <w:tcW w:w="12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(3,016)</w:t>
            </w:r>
          </w:p>
        </w:tc>
      </w:tr>
      <w:tr>
        <w:trPr>
          <w:trHeight w:val="223"/>
        </w:trPr>
        <w:tc>
          <w:tcPr>
            <w:tcW w:w="702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(289,244)</w:t>
            </w:r>
          </w:p>
        </w:tc>
        <w:tc>
          <w:tcPr>
            <w:tcW w:w="12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(247,723)</w:t>
            </w:r>
          </w:p>
        </w:tc>
      </w:tr>
      <w:tr>
        <w:trPr>
          <w:trHeight w:val="223"/>
        </w:trPr>
        <w:tc>
          <w:tcPr>
            <w:tcW w:w="7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Effect of exchange rate changes on cash</w:t>
            </w:r>
          </w:p>
        </w:tc>
        <w:tc>
          <w:tcPr>
            <w:tcW w:w="1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(1,765)</w:t>
            </w:r>
          </w:p>
        </w:tc>
        <w:tc>
          <w:tcPr>
            <w:tcW w:w="12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(5,335)</w:t>
            </w:r>
          </w:p>
        </w:tc>
      </w:tr>
      <w:tr>
        <w:trPr>
          <w:trHeight w:val="22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(decrease) in cash and cash equivalents</w:t>
            </w:r>
          </w:p>
        </w:tc>
        <w:tc>
          <w:tcPr>
            <w:tcW w:w="1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85,283</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(4,026)</w:t>
            </w:r>
          </w:p>
        </w:tc>
      </w:tr>
      <w:tr>
        <w:trPr>
          <w:trHeight w:val="230"/>
        </w:trPr>
        <w:tc>
          <w:tcPr>
            <w:tcW w:w="7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1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134,136</w:t>
            </w:r>
          </w:p>
        </w:tc>
        <w:tc>
          <w:tcPr>
            <w:tcW w:w="12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150,667</w:t>
            </w:r>
          </w:p>
        </w:tc>
      </w:tr>
      <w:tr>
        <w:trPr>
          <w:trHeight w:val="248"/>
        </w:trPr>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1120" w:type="dxa"/>
            <w:vAlign w:val="bottom"/>
            <w:tcBorders>
              <w:bottom w:val="single" w:sz="8" w:color="auto"/>
            </w:tcBorders>
            <w:shd w:val="clear" w:color="auto" w:fill="CCEEFF"/>
          </w:tcPr>
          <w:p>
            <w:pPr>
              <w:jc w:val="right"/>
              <w:ind w:right="939"/>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219,419</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95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146,641</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11000"/>
          </w:cols>
          <w:pgMar w:left="440" w:top="1413" w:right="459"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FAIR ISAAC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NON-GAAP RESULTS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4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Quarter Ended March 31,</w:t>
            </w:r>
          </w:p>
        </w:tc>
        <w:tc>
          <w:tcPr>
            <w:tcW w:w="380" w:type="dxa"/>
            <w:vAlign w:val="bottom"/>
          </w:tcPr>
          <w:p>
            <w:pPr>
              <w:spacing w:after="0"/>
              <w:rPr>
                <w:sz w:val="16"/>
                <w:szCs w:val="16"/>
                <w:color w:val="auto"/>
              </w:rPr>
            </w:pPr>
          </w:p>
        </w:tc>
        <w:tc>
          <w:tcPr>
            <w:tcW w:w="2860" w:type="dxa"/>
            <w:vAlign w:val="bottom"/>
            <w:gridSpan w:val="4"/>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Six Months Ended March 31,</w:t>
            </w:r>
          </w:p>
        </w:tc>
      </w:tr>
      <w:tr>
        <w:trPr>
          <w:trHeight w:val="23"/>
        </w:trPr>
        <w:tc>
          <w:tcPr>
            <w:tcW w:w="45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0"/>
        </w:trPr>
        <w:tc>
          <w:tcPr>
            <w:tcW w:w="45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6"/>
        </w:trPr>
        <w:tc>
          <w:tcPr>
            <w:tcW w:w="4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4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36"/>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GAAP net income</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264,458</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162,615</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422,831</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315,143</w:t>
            </w:r>
          </w:p>
        </w:tc>
      </w:tr>
      <w:tr>
        <w:trPr>
          <w:trHeight w:val="229"/>
        </w:trPr>
        <w:tc>
          <w:tcPr>
            <w:tcW w:w="4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45,310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41,704</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89,579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82,358</w:t>
            </w:r>
          </w:p>
        </w:tc>
      </w:tr>
      <w:tr>
        <w:trPr>
          <w:trHeight w:val="230"/>
        </w:trPr>
        <w:tc>
          <w:tcPr>
            <w:tcW w:w="4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 adjustments</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(23,087)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(20,229)</w:t>
            </w:r>
          </w:p>
        </w:tc>
      </w:tr>
      <w:tr>
        <w:trPr>
          <w:trHeight w:val="229"/>
        </w:trPr>
        <w:tc>
          <w:tcPr>
            <w:tcW w:w="45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Excess tax benefit</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(1,252)</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(1,264)</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(16,909)</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(40,794)</w:t>
            </w:r>
          </w:p>
        </w:tc>
      </w:tr>
      <w:tr>
        <w:trPr>
          <w:trHeight w:val="248"/>
        </w:trPr>
        <w:tc>
          <w:tcPr>
            <w:tcW w:w="454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Non-GAAP net income</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296,804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192,689</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472,414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336,478</w:t>
            </w: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4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29"/>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GAAP diluted earnings per share</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w:t>
            </w:r>
          </w:p>
        </w:tc>
      </w:tr>
      <w:tr>
        <w:trPr>
          <w:trHeight w:val="230"/>
        </w:trPr>
        <w:tc>
          <w:tcPr>
            <w:tcW w:w="4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r>
      <w:tr>
        <w:trPr>
          <w:trHeight w:val="229"/>
        </w:trPr>
        <w:tc>
          <w:tcPr>
            <w:tcW w:w="4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 adjustments</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(0.82)</w:t>
            </w:r>
          </w:p>
        </w:tc>
      </w:tr>
      <w:tr>
        <w:trPr>
          <w:trHeight w:val="229"/>
        </w:trPr>
        <w:tc>
          <w:tcPr>
            <w:tcW w:w="45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Excess tax benefit</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(0.71)</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48"/>
        </w:trPr>
        <w:tc>
          <w:tcPr>
            <w:tcW w:w="454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Non-GAAP diluted earnings per share</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w:t>
            </w: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4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30"/>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Free cash flow</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9"/>
        </w:trPr>
        <w:tc>
          <w:tcPr>
            <w:tcW w:w="4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223,358</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74,918</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397,440</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268,915</w:t>
            </w:r>
          </w:p>
        </w:tc>
      </w:tr>
      <w:tr>
        <w:trPr>
          <w:trHeight w:val="229"/>
        </w:trPr>
        <w:tc>
          <w:tcPr>
            <w:tcW w:w="4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Capital expenditures</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(9,042)</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(9,427)</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(17,748)</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(16,598)</w:t>
            </w:r>
          </w:p>
        </w:tc>
      </w:tr>
      <w:tr>
        <w:trPr>
          <w:trHeight w:val="223"/>
        </w:trPr>
        <w:tc>
          <w:tcPr>
            <w:tcW w:w="45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Free cash flow</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214,316</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65,491</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379,692</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252,317</w:t>
            </w:r>
          </w:p>
        </w:tc>
      </w:tr>
      <w:tr>
        <w:trPr>
          <w:trHeight w:val="20"/>
        </w:trPr>
        <w:tc>
          <w:tcPr>
            <w:tcW w:w="45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The numbers may not sum to total due to rounding.</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Non-GAAP Financial Measures</w:t>
      </w:r>
    </w:p>
    <w:p>
      <w:pPr>
        <w:spacing w:after="0" w:line="6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supplement the consolidated GAAP financial statements, the company uses the following non-GAAP financial measures: non-GAAP net income, non-GAAP EPS, and free cash flow. Non-GAAP net income and non-GAAP EPS exclude, to the extent applicable, such items as the impact of amortization expense, share-based compensation expense, restructuring and acquisition-related, excess tax benefit, and adjustment to tax valuation allowance items. Free cash flow excludes capital expenditures. The presentation of these financial measures is not intended to be considered in isolation or as a substitute for, or superior to, the financial information prepared and presented in accordance with GAAP.</w:t>
      </w:r>
    </w:p>
    <w:p>
      <w:pPr>
        <w:spacing w:after="0" w:line="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Management uses these non-GAAP financial measures for financial and operational decision-making and as a means to evaluate period-to-period comparisons. Our management believes these non-GAAP financial measures provide meaningful supplemental information regarding our performance and liquidity by excluding certain items that may not be indicative of recurring business results including significant non-cash expenses. We believe management and investors benefit from referring to these non-GAAP financial measures in assessing our performance when planning, forecasting and analyzing future periods. These non-GAAP financial measures also facilitate management’s internal comparisons to historical performance and liquidity as well as comparisons to our competitors’ operating results. We believe these non-GAAP financial measures are useful to investors because they allow for greater transparency with respect to key measures used by management in its financial and operating decision-making.</w:t>
      </w:r>
    </w:p>
    <w:p>
      <w:pPr>
        <w:sectPr>
          <w:pgSz w:w="11900" w:h="16838" w:orient="portrait"/>
          <w:cols w:equalWidth="0" w:num="1">
            <w:col w:w="11240"/>
          </w:cols>
          <w:pgMar w:left="320" w:top="1413"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FAIR ISAAC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NON-GAAP GUIDANCE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6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Previous Fiscal 2026 Guidance</w:t>
            </w:r>
          </w:p>
        </w:tc>
        <w:tc>
          <w:tcPr>
            <w:tcW w:w="220" w:type="dxa"/>
            <w:vAlign w:val="bottom"/>
          </w:tcPr>
          <w:p>
            <w:pPr>
              <w:spacing w:after="0"/>
              <w:rPr>
                <w:sz w:val="16"/>
                <w:szCs w:val="16"/>
                <w:color w:val="auto"/>
              </w:rPr>
            </w:pPr>
          </w:p>
        </w:tc>
        <w:tc>
          <w:tcPr>
            <w:tcW w:w="1880" w:type="dxa"/>
            <w:vAlign w:val="bottom"/>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Updated Fiscal 2026</w:t>
            </w:r>
          </w:p>
        </w:tc>
        <w:tc>
          <w:tcPr>
            <w:tcW w:w="0" w:type="dxa"/>
            <w:vAlign w:val="bottom"/>
          </w:tcPr>
          <w:p>
            <w:pPr>
              <w:spacing w:after="0"/>
              <w:rPr>
                <w:sz w:val="1"/>
                <w:szCs w:val="1"/>
                <w:color w:val="auto"/>
              </w:rPr>
            </w:pPr>
          </w:p>
        </w:tc>
      </w:tr>
      <w:tr>
        <w:trPr>
          <w:trHeight w:val="214"/>
        </w:trPr>
        <w:tc>
          <w:tcPr>
            <w:tcW w:w="65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2"/>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6"/>
                <w:szCs w:val="16"/>
                <w:b w:val="1"/>
                <w:bCs w:val="1"/>
                <w:color w:val="auto"/>
              </w:rPr>
              <w:t>Guidance</w:t>
            </w:r>
          </w:p>
        </w:tc>
        <w:tc>
          <w:tcPr>
            <w:tcW w:w="0" w:type="dxa"/>
            <w:vAlign w:val="bottom"/>
          </w:tcPr>
          <w:p>
            <w:pPr>
              <w:spacing w:after="0"/>
              <w:rPr>
                <w:sz w:val="1"/>
                <w:szCs w:val="1"/>
                <w:color w:val="auto"/>
              </w:rPr>
            </w:pPr>
          </w:p>
        </w:tc>
      </w:tr>
      <w:tr>
        <w:trPr>
          <w:trHeight w:val="186"/>
        </w:trPr>
        <w:tc>
          <w:tcPr>
            <w:tcW w:w="6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560" w:type="dxa"/>
            <w:vAlign w:val="bottom"/>
            <w:gridSpan w:val="4"/>
          </w:tcPr>
          <w:p>
            <w:pPr>
              <w:jc w:val="right"/>
              <w:ind w:right="1192"/>
              <w:spacing w:after="0"/>
              <w:rPr>
                <w:sz w:val="20"/>
                <w:szCs w:val="20"/>
                <w:color w:val="auto"/>
              </w:rPr>
            </w:pPr>
            <w:r>
              <w:rPr>
                <w:rFonts w:ascii="Times New Roman" w:cs="Times New Roman" w:eastAsia="Times New Roman" w:hAnsi="Times New Roman"/>
                <w:sz w:val="14"/>
                <w:szCs w:val="14"/>
                <w:b w:val="1"/>
                <w:bCs w:val="1"/>
                <w:color w:val="auto"/>
              </w:rPr>
              <w:t>(In millions, except per share data)</w:t>
            </w:r>
          </w:p>
        </w:tc>
        <w:tc>
          <w:tcPr>
            <w:tcW w:w="0" w:type="dxa"/>
            <w:vAlign w:val="bottom"/>
          </w:tcPr>
          <w:p>
            <w:pPr>
              <w:spacing w:after="0"/>
              <w:rPr>
                <w:sz w:val="1"/>
                <w:szCs w:val="1"/>
                <w:color w:val="auto"/>
              </w:rPr>
            </w:pPr>
          </w:p>
        </w:tc>
      </w:tr>
      <w:tr>
        <w:trPr>
          <w:trHeight w:val="215"/>
        </w:trPr>
        <w:tc>
          <w:tcPr>
            <w:tcW w:w="6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GAAP net income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0" w:type="dxa"/>
            <w:vAlign w:val="bottom"/>
          </w:tcPr>
          <w:p>
            <w:pPr>
              <w:spacing w:after="0"/>
              <w:rPr>
                <w:sz w:val="1"/>
                <w:szCs w:val="1"/>
                <w:color w:val="auto"/>
              </w:rPr>
            </w:pPr>
          </w:p>
        </w:tc>
      </w:tr>
      <w:tr>
        <w:trPr>
          <w:trHeight w:val="229"/>
        </w:trPr>
        <w:tc>
          <w:tcPr>
            <w:tcW w:w="6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60" w:type="dxa"/>
            <w:vAlign w:val="bottom"/>
          </w:tcPr>
          <w:p>
            <w:pPr>
              <w:spacing w:after="0"/>
              <w:rPr>
                <w:sz w:val="19"/>
                <w:szCs w:val="19"/>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0" w:type="dxa"/>
            <w:vAlign w:val="bottom"/>
          </w:tcPr>
          <w:p>
            <w:pPr>
              <w:spacing w:after="0"/>
              <w:rPr>
                <w:sz w:val="1"/>
                <w:szCs w:val="1"/>
                <w:color w:val="auto"/>
              </w:rPr>
            </w:pPr>
          </w:p>
        </w:tc>
      </w:tr>
      <w:tr>
        <w:trPr>
          <w:trHeight w:val="229"/>
        </w:trPr>
        <w:tc>
          <w:tcPr>
            <w:tcW w:w="6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 adjustments</w:t>
            </w:r>
          </w:p>
        </w:tc>
        <w:tc>
          <w:tcPr>
            <w:tcW w:w="160" w:type="dxa"/>
            <w:vAlign w:val="bottom"/>
            <w:shd w:val="clear" w:color="auto" w:fill="CCEEFF"/>
          </w:tcPr>
          <w:p>
            <w:pPr>
              <w:spacing w:after="0"/>
              <w:rPr>
                <w:sz w:val="19"/>
                <w:szCs w:val="19"/>
                <w:color w:val="auto"/>
              </w:rPr>
            </w:pP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30"/>
        </w:trPr>
        <w:tc>
          <w:tcPr>
            <w:tcW w:w="65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Excess tax benefit</w:t>
            </w:r>
          </w:p>
        </w:tc>
        <w:tc>
          <w:tcPr>
            <w:tcW w:w="16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48"/>
        </w:trPr>
        <w:tc>
          <w:tcPr>
            <w:tcW w:w="652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Non-GAAP net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2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6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GAAP diluted earnings per share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35.60</w:t>
            </w:r>
          </w:p>
        </w:tc>
        <w:tc>
          <w:tcPr>
            <w:tcW w:w="0" w:type="dxa"/>
            <w:vAlign w:val="bottom"/>
          </w:tcPr>
          <w:p>
            <w:pPr>
              <w:spacing w:after="0"/>
              <w:rPr>
                <w:sz w:val="1"/>
                <w:szCs w:val="1"/>
                <w:color w:val="auto"/>
              </w:rPr>
            </w:pPr>
          </w:p>
        </w:tc>
      </w:tr>
      <w:tr>
        <w:trPr>
          <w:trHeight w:val="230"/>
        </w:trPr>
        <w:tc>
          <w:tcPr>
            <w:tcW w:w="6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60" w:type="dxa"/>
            <w:vAlign w:val="bottom"/>
          </w:tcPr>
          <w:p>
            <w:pPr>
              <w:spacing w:after="0"/>
              <w:rPr>
                <w:sz w:val="19"/>
                <w:szCs w:val="19"/>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0" w:type="dxa"/>
            <w:vAlign w:val="bottom"/>
          </w:tcPr>
          <w:p>
            <w:pPr>
              <w:spacing w:after="0"/>
              <w:rPr>
                <w:sz w:val="1"/>
                <w:szCs w:val="1"/>
                <w:color w:val="auto"/>
              </w:rPr>
            </w:pPr>
          </w:p>
        </w:tc>
      </w:tr>
      <w:tr>
        <w:trPr>
          <w:trHeight w:val="229"/>
        </w:trPr>
        <w:tc>
          <w:tcPr>
            <w:tcW w:w="6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 adjustments</w:t>
            </w:r>
          </w:p>
        </w:tc>
        <w:tc>
          <w:tcPr>
            <w:tcW w:w="160" w:type="dxa"/>
            <w:vAlign w:val="bottom"/>
            <w:shd w:val="clear" w:color="auto" w:fill="CCEEFF"/>
          </w:tcPr>
          <w:p>
            <w:pPr>
              <w:spacing w:after="0"/>
              <w:rPr>
                <w:sz w:val="19"/>
                <w:szCs w:val="19"/>
                <w:color w:val="auto"/>
              </w:rPr>
            </w:pP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r>
        <w:trPr>
          <w:trHeight w:val="230"/>
        </w:trPr>
        <w:tc>
          <w:tcPr>
            <w:tcW w:w="65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Excess tax benefit</w:t>
            </w:r>
          </w:p>
        </w:tc>
        <w:tc>
          <w:tcPr>
            <w:tcW w:w="16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(0.76)</w:t>
            </w:r>
          </w:p>
        </w:tc>
        <w:tc>
          <w:tcPr>
            <w:tcW w:w="0" w:type="dxa"/>
            <w:vAlign w:val="bottom"/>
          </w:tcPr>
          <w:p>
            <w:pPr>
              <w:spacing w:after="0"/>
              <w:rPr>
                <w:sz w:val="1"/>
                <w:szCs w:val="1"/>
                <w:color w:val="auto"/>
              </w:rPr>
            </w:pPr>
          </w:p>
        </w:tc>
      </w:tr>
      <w:tr>
        <w:trPr>
          <w:trHeight w:val="248"/>
        </w:trPr>
        <w:tc>
          <w:tcPr>
            <w:tcW w:w="652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Non-GAAP diluted earnings per share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40.45</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2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The numbers may not sum to total due to rounding.</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Non-GAAP Financial Measures</w:t>
      </w:r>
    </w:p>
    <w:p>
      <w:pPr>
        <w:spacing w:after="0" w:line="6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supplement the consolidated GAAP financial statements, the company uses the following non-GAAP financial measures: non-GAAP net income, non-GAAP EPS, and free cash flow. Non-GAAP net income and non-GAAP EPS exclude, to the extent applicable, such items as the impact of amortization expense, share-based compensation expense, restructuring and acquisition-related, excess tax benefit, and adjustment to tax valuation allowance items. Free cash flow excludes capital expenditures. The presentation of these financial measures is not intended to be considered in isolation or as a substitute for, or superior to, the financial information prepared and presented in accordance with GAAP.</w:t>
      </w:r>
    </w:p>
    <w:p>
      <w:pPr>
        <w:spacing w:after="0" w:line="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Management uses these non-GAAP financial measures for financial and operational decision-making and as a means to evaluate period-to-period comparisons. Our management believes these non-GAAP financial measures provide meaningful supplemental information regarding our performance and liquidity by excluding certain items that may not be indicative of recurring business results including significant non-cash expenses. We believe management and investors benefit from referring to these non-GAAP financial measures in assessing our performance when planning, forecasting and analyzing future periods. These non-GAAP financial measures also facilitate management’s internal comparisons to historical performance and liquidity as well as comparisons to our competitors’ operating results. We believe these non-GAAP financial measures are useful to investors because they allow for greater transparency with respect to key measures used by management in its financial and operating decision-making.</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Contacts</w:t>
      </w:r>
    </w:p>
    <w:p>
      <w:pPr>
        <w:spacing w:after="0" w:line="230" w:lineRule="auto"/>
        <w:rPr>
          <w:sz w:val="20"/>
          <w:szCs w:val="20"/>
          <w:color w:val="auto"/>
        </w:rPr>
      </w:pPr>
      <w:r>
        <w:rPr>
          <w:rFonts w:ascii="Times New Roman" w:cs="Times New Roman" w:eastAsia="Times New Roman" w:hAnsi="Times New Roman"/>
          <w:sz w:val="18"/>
          <w:szCs w:val="18"/>
          <w:b w:val="1"/>
          <w:bCs w:val="1"/>
          <w:color w:val="auto"/>
        </w:rPr>
        <w:t>Investors/Analysts:</w:t>
      </w:r>
    </w:p>
    <w:p>
      <w:pPr>
        <w:spacing w:after="0" w:line="235" w:lineRule="auto"/>
        <w:rPr>
          <w:sz w:val="20"/>
          <w:szCs w:val="20"/>
          <w:color w:val="auto"/>
        </w:rPr>
      </w:pPr>
      <w:r>
        <w:rPr>
          <w:rFonts w:ascii="Times New Roman" w:cs="Times New Roman" w:eastAsia="Times New Roman" w:hAnsi="Times New Roman"/>
          <w:sz w:val="18"/>
          <w:szCs w:val="18"/>
          <w:color w:val="auto"/>
        </w:rPr>
        <w:t>Dave Singleton</w:t>
      </w:r>
    </w:p>
    <w:p>
      <w:pPr>
        <w:spacing w:after="0" w:line="234" w:lineRule="auto"/>
        <w:rPr>
          <w:sz w:val="20"/>
          <w:szCs w:val="20"/>
          <w:color w:val="auto"/>
        </w:rPr>
      </w:pPr>
      <w:r>
        <w:rPr>
          <w:rFonts w:ascii="Times New Roman" w:cs="Times New Roman" w:eastAsia="Times New Roman" w:hAnsi="Times New Roman"/>
          <w:sz w:val="18"/>
          <w:szCs w:val="18"/>
          <w:color w:val="auto"/>
        </w:rPr>
        <w:t>Fair Isaac Corporation</w:t>
      </w:r>
    </w:p>
    <w:p>
      <w:pPr>
        <w:spacing w:after="0" w:line="1" w:lineRule="exact"/>
        <w:rPr>
          <w:sz w:val="20"/>
          <w:szCs w:val="20"/>
          <w:color w:val="auto"/>
        </w:rPr>
      </w:pPr>
    </w:p>
    <w:p>
      <w:pPr>
        <w:ind w:right="9860" w:firstLine="8"/>
        <w:spacing w:after="0" w:line="271" w:lineRule="auto"/>
        <w:tabs>
          <w:tab w:leader="none" w:pos="43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459-7125 </w:t>
      </w:r>
      <w:r>
        <w:rPr>
          <w:rFonts w:ascii="Times New Roman" w:cs="Times New Roman" w:eastAsia="Times New Roman" w:hAnsi="Times New Roman"/>
          <w:sz w:val="17"/>
          <w:szCs w:val="17"/>
          <w:color w:val="0000FF"/>
        </w:rPr>
        <w:t>investor@fico.com</w:t>
      </w:r>
    </w:p>
    <w:sectPr>
      <w:pgSz w:w="11900" w:h="16838" w:orient="portrait"/>
      <w:cols w:equalWidth="0" w:num="1">
        <w:col w:w="11240"/>
      </w:cols>
      <w:pgMar w:left="320" w:top="141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800"/>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2026-04-28T16:04:09Z</dcterms:created>
  <dcterms:modified xsi:type="dcterms:W3CDTF">2026-04-28T16:04:09Z</dcterms:modified>
</cp:coreProperties>
</file>