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Fair Isaac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Research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1,291,929.00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1,296,893.00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1,296,893.00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Fair Isaac Corp.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WEST MENDENHALL, SUITES 105, BOZEMAN, MT 59715</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2.</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Research Global Investors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(f)</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(g)</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(h)</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(j)</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(k)</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9087" w:type="dxa"/>
            <w:gridSpan w:val="2"/>
            <w:tcBorders/>
            <w:vAlign w:val="center"/>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1,296,893 ** **Capital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1,296,893 shares or 5.6% of the 23,190,906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1,291,929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1,296,893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5.</w:t>
            </w:r>
          </w:p>
        </w:tc>
        <w:tc>
          <w:tcPr>
            <w:tcW w:w="893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893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8.</w:t>
            </w:r>
          </w:p>
        </w:tc>
        <w:tc>
          <w:tcPr>
            <w:tcW w:w="893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9.</w:t>
            </w:r>
          </w:p>
        </w:tc>
        <w:tc>
          <w:tcPr>
            <w:tcW w:w="893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Capital Research Global Investors</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Jae Won Chung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Senior Vice President and Associate General Counsel, Capital Research and Management Company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834</Words>
  <Characters>4450</Characters>
  <CharactersWithSpaces>5276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