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158750</wp:posOffset>
            </wp:positionV>
            <wp:extent cx="1406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90"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-127635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4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w:t>
      </w:r>
    </w:p>
    <w:p>
      <w:pPr>
        <w:spacing w:after="0" w:line="14" w:lineRule="exact"/>
        <w:rPr>
          <w:sz w:val="24"/>
          <w:szCs w:val="24"/>
          <w:color w:val="auto"/>
        </w:rPr>
      </w:pPr>
    </w:p>
    <w:p>
      <w:pPr>
        <w:ind w:left="380"/>
        <w:spacing w:after="0"/>
        <w:rPr>
          <w:sz w:val="20"/>
          <w:szCs w:val="20"/>
          <w:color w:val="auto"/>
        </w:rPr>
      </w:pPr>
      <w:r>
        <w:rPr>
          <w:rFonts w:ascii="Arial" w:cs="Arial" w:eastAsia="Arial" w:hAnsi="Arial"/>
          <w:sz w:val="22"/>
          <w:szCs w:val="22"/>
          <w:b w:val="1"/>
          <w:bCs w:val="1"/>
          <w:color w:val="auto"/>
        </w:rPr>
        <w:t>1934</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2019</w:t>
      </w:r>
    </w:p>
    <w:p>
      <w:pPr>
        <w:spacing w:after="0" w:line="161" w:lineRule="exact"/>
        <w:rPr>
          <w:sz w:val="24"/>
          <w:szCs w:val="24"/>
          <w:color w:val="auto"/>
        </w:rPr>
      </w:pPr>
    </w:p>
    <w:p>
      <w:pPr>
        <w:ind w:left="380" w:right="60" w:hanging="345"/>
        <w:spacing w:after="0" w:line="256" w:lineRule="auto"/>
        <w:tabs>
          <w:tab w:leader="none" w:pos="3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8"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r>
      <w:tr>
        <w:trPr>
          <w:trHeight w:val="395"/>
        </w:trPr>
        <w:tc>
          <w:tcPr>
            <w:tcW w:w="4420" w:type="dxa"/>
            <w:vAlign w:val="bottom"/>
            <w:gridSpan w:val="4"/>
          </w:tcPr>
          <w:p>
            <w:pPr>
              <w:ind w:left="8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21"/>
                <w:szCs w:val="21"/>
                <w:b w:val="1"/>
                <w:bCs w:val="1"/>
                <w:color w:val="auto"/>
              </w:rPr>
              <w:t>1-11689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225425</wp:posOffset>
            </wp:positionV>
            <wp:extent cx="1406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Fair Isaac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330835</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2140" w:type="dxa"/>
        <w:tblCellMar>
          <w:top w:w="0" w:type="dxa"/>
          <w:left w:w="0" w:type="dxa"/>
          <w:bottom w:w="0" w:type="dxa"/>
          <w:right w:w="0" w:type="dxa"/>
        </w:tblCellMar>
      </w:tblPr>
      <w:tr>
        <w:trPr>
          <w:trHeight w:val="234"/>
        </w:trPr>
        <w:tc>
          <w:tcPr>
            <w:tcW w:w="6220" w:type="dxa"/>
            <w:vAlign w:val="bottom"/>
          </w:tcPr>
          <w:p>
            <w:pPr>
              <w:jc w:val="center"/>
              <w:ind w:right="3778"/>
              <w:spacing w:after="0"/>
              <w:rPr>
                <w:sz w:val="20"/>
                <w:szCs w:val="20"/>
                <w:color w:val="auto"/>
              </w:rPr>
            </w:pPr>
            <w:r>
              <w:rPr>
                <w:rFonts w:ascii="Arial" w:cs="Arial" w:eastAsia="Arial" w:hAnsi="Arial"/>
                <w:sz w:val="18"/>
                <w:szCs w:val="18"/>
                <w:b w:val="1"/>
                <w:bCs w:val="1"/>
                <w:color w:val="auto"/>
                <w:w w:val="91"/>
              </w:rPr>
              <w:t>Delaware</w:t>
            </w:r>
          </w:p>
        </w:tc>
        <w:tc>
          <w:tcPr>
            <w:tcW w:w="1240" w:type="dxa"/>
            <w:vAlign w:val="bottom"/>
          </w:tcPr>
          <w:p>
            <w:pPr>
              <w:jc w:val="center"/>
              <w:ind w:left="21"/>
              <w:spacing w:after="0"/>
              <w:rPr>
                <w:sz w:val="20"/>
                <w:szCs w:val="20"/>
                <w:color w:val="auto"/>
              </w:rPr>
            </w:pPr>
            <w:r>
              <w:rPr>
                <w:rFonts w:ascii="Arial" w:cs="Arial" w:eastAsia="Arial" w:hAnsi="Arial"/>
                <w:sz w:val="18"/>
                <w:szCs w:val="18"/>
                <w:b w:val="1"/>
                <w:bCs w:val="1"/>
                <w:color w:val="auto"/>
                <w:w w:val="89"/>
              </w:rPr>
              <w:t>94-1499887</w:t>
            </w:r>
          </w:p>
        </w:tc>
      </w:tr>
      <w:tr>
        <w:trPr>
          <w:trHeight w:val="218"/>
        </w:trPr>
        <w:tc>
          <w:tcPr>
            <w:tcW w:w="6220" w:type="dxa"/>
            <w:vAlign w:val="bottom"/>
          </w:tcPr>
          <w:p>
            <w:pPr>
              <w:jc w:val="center"/>
              <w:ind w:right="3778"/>
              <w:spacing w:after="0"/>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jc w:val="center"/>
              <w:ind w:left="1"/>
              <w:spacing w:after="0"/>
              <w:rPr>
                <w:sz w:val="20"/>
                <w:szCs w:val="20"/>
                <w:color w:val="auto"/>
              </w:rPr>
            </w:pPr>
            <w:r>
              <w:rPr>
                <w:rFonts w:ascii="Arial" w:cs="Arial" w:eastAsia="Arial" w:hAnsi="Arial"/>
                <w:sz w:val="14"/>
                <w:szCs w:val="14"/>
                <w:b w:val="1"/>
                <w:bCs w:val="1"/>
                <w:color w:val="auto"/>
                <w:w w:val="96"/>
              </w:rPr>
              <w:t>(I.R.S. Employer</w:t>
            </w:r>
          </w:p>
        </w:tc>
      </w:tr>
      <w:tr>
        <w:trPr>
          <w:trHeight w:val="203"/>
        </w:trPr>
        <w:tc>
          <w:tcPr>
            <w:tcW w:w="6220" w:type="dxa"/>
            <w:vAlign w:val="bottom"/>
          </w:tcPr>
          <w:p>
            <w:pPr>
              <w:jc w:val="center"/>
              <w:ind w:right="3778"/>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Identification No.)</w:t>
            </w:r>
          </w:p>
        </w:tc>
      </w:tr>
      <w:tr>
        <w:trPr>
          <w:trHeight w:val="377"/>
        </w:trPr>
        <w:tc>
          <w:tcPr>
            <w:tcW w:w="6220" w:type="dxa"/>
            <w:vAlign w:val="bottom"/>
          </w:tcPr>
          <w:p>
            <w:pPr>
              <w:jc w:val="center"/>
              <w:ind w:right="3758"/>
              <w:spacing w:after="0"/>
              <w:rPr>
                <w:sz w:val="20"/>
                <w:szCs w:val="20"/>
                <w:color w:val="auto"/>
              </w:rPr>
            </w:pPr>
            <w:r>
              <w:rPr>
                <w:rFonts w:ascii="Arial" w:cs="Arial" w:eastAsia="Arial" w:hAnsi="Arial"/>
                <w:sz w:val="18"/>
                <w:szCs w:val="18"/>
                <w:b w:val="1"/>
                <w:bCs w:val="1"/>
                <w:color w:val="auto"/>
                <w:w w:val="92"/>
              </w:rPr>
              <w:t>181 Metro Drive, Suite 700</w:t>
            </w:r>
          </w:p>
        </w:tc>
        <w:tc>
          <w:tcPr>
            <w:tcW w:w="1240" w:type="dxa"/>
            <w:vAlign w:val="bottom"/>
          </w:tcPr>
          <w:p>
            <w:pPr>
              <w:jc w:val="center"/>
              <w:ind w:left="21"/>
              <w:spacing w:after="0"/>
              <w:rPr>
                <w:sz w:val="20"/>
                <w:szCs w:val="20"/>
                <w:color w:val="auto"/>
              </w:rPr>
            </w:pPr>
            <w:r>
              <w:rPr>
                <w:rFonts w:ascii="Arial" w:cs="Arial" w:eastAsia="Arial" w:hAnsi="Arial"/>
                <w:sz w:val="18"/>
                <w:szCs w:val="18"/>
                <w:b w:val="1"/>
                <w:bCs w:val="1"/>
                <w:color w:val="auto"/>
                <w:w w:val="89"/>
              </w:rPr>
              <w:t>95110-1346</w:t>
            </w:r>
          </w:p>
        </w:tc>
      </w:tr>
      <w:tr>
        <w:trPr>
          <w:trHeight w:val="270"/>
        </w:trPr>
        <w:tc>
          <w:tcPr>
            <w:tcW w:w="6220" w:type="dxa"/>
            <w:vAlign w:val="bottom"/>
          </w:tcPr>
          <w:p>
            <w:pPr>
              <w:ind w:left="380"/>
              <w:spacing w:after="0"/>
              <w:rPr>
                <w:sz w:val="20"/>
                <w:szCs w:val="20"/>
                <w:color w:val="auto"/>
              </w:rPr>
            </w:pPr>
            <w:r>
              <w:rPr>
                <w:rFonts w:ascii="Arial" w:cs="Arial" w:eastAsia="Arial" w:hAnsi="Arial"/>
                <w:sz w:val="18"/>
                <w:szCs w:val="18"/>
                <w:b w:val="1"/>
                <w:bCs w:val="1"/>
                <w:color w:val="auto"/>
              </w:rPr>
              <w:t>San Jose California</w:t>
            </w:r>
          </w:p>
        </w:tc>
        <w:tc>
          <w:tcPr>
            <w:tcW w:w="1240" w:type="dxa"/>
            <w:vAlign w:val="bottom"/>
          </w:tcPr>
          <w:p>
            <w:pPr>
              <w:spacing w:after="0"/>
              <w:rPr>
                <w:sz w:val="23"/>
                <w:szCs w:val="23"/>
                <w:color w:val="auto"/>
              </w:rPr>
            </w:pPr>
          </w:p>
        </w:tc>
      </w:tr>
      <w:tr>
        <w:trPr>
          <w:trHeight w:val="218"/>
        </w:trPr>
        <w:tc>
          <w:tcPr>
            <w:tcW w:w="6220" w:type="dxa"/>
            <w:vAlign w:val="bottom"/>
          </w:tcPr>
          <w:p>
            <w:pPr>
              <w:jc w:val="center"/>
              <w:ind w:right="37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6220" w:type="dxa"/>
            <w:vAlign w:val="bottom"/>
          </w:tcPr>
          <w:p>
            <w:pPr>
              <w:ind w:left="1040"/>
              <w:spacing w:after="0"/>
              <w:rPr>
                <w:sz w:val="20"/>
                <w:szCs w:val="20"/>
                <w:color w:val="auto"/>
              </w:rPr>
            </w:pPr>
            <w:r>
              <w:rPr>
                <w:rFonts w:ascii="Arial" w:cs="Arial" w:eastAsia="Arial" w:hAnsi="Arial"/>
                <w:sz w:val="18"/>
                <w:szCs w:val="18"/>
                <w:b w:val="1"/>
                <w:bCs w:val="1"/>
                <w:color w:val="auto"/>
                <w:w w:val="90"/>
              </w:rPr>
              <w:t>Registrant’s telephone number, including area code: 408-535-1500</w:t>
            </w:r>
          </w:p>
        </w:tc>
        <w:tc>
          <w:tcPr>
            <w:tcW w:w="12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325755</wp:posOffset>
            </wp:positionV>
            <wp:extent cx="1406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44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292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86"/>
              </w:rPr>
              <w:t>Title of each class</w:t>
            </w:r>
          </w:p>
        </w:tc>
        <w:tc>
          <w:tcPr>
            <w:tcW w:w="2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Trading Symbol(s)</w:t>
            </w:r>
          </w:p>
        </w:tc>
        <w:tc>
          <w:tcPr>
            <w:tcW w:w="404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760" w:type="dxa"/>
            <w:vAlign w:val="bottom"/>
            <w:gridSpan w:val="3"/>
          </w:tcPr>
          <w:p>
            <w:pPr>
              <w:jc w:val="center"/>
              <w:ind w:right="740"/>
              <w:spacing w:after="0"/>
              <w:rPr>
                <w:sz w:val="20"/>
                <w:szCs w:val="20"/>
                <w:color w:val="auto"/>
              </w:rPr>
            </w:pPr>
            <w:r>
              <w:rPr>
                <w:rFonts w:ascii="Arial" w:cs="Arial" w:eastAsia="Arial" w:hAnsi="Arial"/>
                <w:sz w:val="18"/>
                <w:szCs w:val="18"/>
                <w:color w:val="auto"/>
                <w:w w:val="89"/>
              </w:rPr>
              <w:t>Common Stock, $0.01 par value per share</w:t>
            </w:r>
          </w:p>
        </w:tc>
        <w:tc>
          <w:tcPr>
            <w:tcW w:w="212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FICO</w:t>
            </w:r>
          </w:p>
        </w:tc>
        <w:tc>
          <w:tcPr>
            <w:tcW w:w="7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21"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03"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3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08"/>
        </w:trPr>
        <w:tc>
          <w:tcPr>
            <w:tcW w:w="3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00" w:type="dxa"/>
            <w:vAlign w:val="bottom"/>
            <w:vMerge w:val="restart"/>
          </w:tcPr>
          <w:p>
            <w:pPr>
              <w:ind w:left="140"/>
              <w:spacing w:after="0"/>
              <w:rPr>
                <w:sz w:val="20"/>
                <w:szCs w:val="20"/>
                <w:color w:val="auto"/>
              </w:rPr>
            </w:pPr>
            <w:r>
              <w:rPr>
                <w:rFonts w:ascii="Arial" w:cs="Arial" w:eastAsia="Arial" w:hAnsi="Arial"/>
                <w:sz w:val="18"/>
                <w:szCs w:val="18"/>
                <w:color w:val="auto"/>
              </w:rPr>
              <w:t>Emerging Growth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34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ind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33" w:right="239" w:bottom="26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47" w:lineRule="exact"/>
        <w:rPr>
          <w:sz w:val="20"/>
          <w:szCs w:val="20"/>
          <w:color w:val="auto"/>
        </w:rPr>
      </w:pPr>
    </w:p>
    <w:p>
      <w:pPr>
        <w:ind w:left="440" w:hanging="351"/>
        <w:spacing w:after="0" w:line="207" w:lineRule="exact"/>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84"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6"/>
          <w:szCs w:val="16"/>
          <w:color w:val="auto"/>
        </w:rPr>
        <w:t>The number of shares of common stock outstanding on January 17, 2020 was 29,148,054 (excluding 59,708,729 shares held by us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60" w:type="dxa"/>
            <w:vAlign w:val="bottom"/>
            <w:gridSpan w:val="4"/>
          </w:tcPr>
          <w:p>
            <w:pPr>
              <w:ind w:left="640"/>
              <w:spacing w:after="0"/>
              <w:rPr>
                <w:sz w:val="20"/>
                <w:szCs w:val="20"/>
                <w:color w:val="auto"/>
              </w:rPr>
            </w:pPr>
            <w:r>
              <w:rPr>
                <w:rFonts w:ascii="Arial" w:cs="Arial" w:eastAsia="Arial" w:hAnsi="Arial"/>
                <w:sz w:val="18"/>
                <w:szCs w:val="18"/>
                <w:b w:val="1"/>
                <w:bCs w:val="1"/>
                <w:color w:val="auto"/>
              </w:rPr>
              <w:t>TABLE OF CONTENTS</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9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5160" w:type="dxa"/>
            <w:vAlign w:val="bottom"/>
            <w:gridSpan w:val="4"/>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6820" w:type="dxa"/>
            <w:vAlign w:val="bottom"/>
            <w:gridSpan w:val="8"/>
          </w:tcPr>
          <w:p>
            <w:pPr>
              <w:spacing w:after="0"/>
              <w:rPr>
                <w:sz w:val="24"/>
                <w:szCs w:val="24"/>
                <w:color w:val="auto"/>
              </w:rPr>
            </w:pPr>
          </w:p>
        </w:tc>
        <w:tc>
          <w:tcPr>
            <w:tcW w:w="20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18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20</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3960" w:type="dxa"/>
            <w:vAlign w:val="bottom"/>
            <w:gridSpan w:val="2"/>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33</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320" w:type="dxa"/>
            <w:vAlign w:val="bottom"/>
            <w:gridSpan w:val="1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204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 OTHER INFORMATION</w:t>
              </w:r>
            </w:hyperlink>
          </w:p>
        </w:tc>
        <w:tc>
          <w:tcPr>
            <w:tcW w:w="5460" w:type="dxa"/>
            <w:vAlign w:val="bottom"/>
            <w:gridSpan w:val="5"/>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204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1"/>
                <w:szCs w:val="21"/>
                <w:color w:val="auto"/>
              </w:rPr>
            </w:pPr>
          </w:p>
        </w:tc>
        <w:tc>
          <w:tcPr>
            <w:tcW w:w="7000" w:type="dxa"/>
            <w:vAlign w:val="bottom"/>
            <w:gridSpan w:val="9"/>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36</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1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204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1"/>
                <w:szCs w:val="21"/>
                <w:color w:val="auto"/>
              </w:rPr>
            </w:pPr>
          </w:p>
        </w:tc>
        <w:tc>
          <w:tcPr>
            <w:tcW w:w="3980" w:type="dxa"/>
            <w:vAlign w:val="bottom"/>
            <w:gridSpan w:val="3"/>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47</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320" w:type="dxa"/>
            <w:vAlign w:val="bottom"/>
            <w:gridSpan w:val="1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204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6560" w:type="dxa"/>
            <w:vAlign w:val="bottom"/>
            <w:gridSpan w:val="7"/>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47</w:t>
              </w:r>
            </w:hyperlink>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1"/>
                <w:szCs w:val="21"/>
                <w:color w:val="auto"/>
              </w:rPr>
            </w:pPr>
          </w:p>
        </w:tc>
        <w:tc>
          <w:tcPr>
            <w:tcW w:w="7020" w:type="dxa"/>
            <w:vAlign w:val="bottom"/>
            <w:gridSpan w:val="10"/>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48</w:t>
              </w:r>
            </w:hyperlink>
          </w:p>
        </w:tc>
      </w:tr>
      <w:tr>
        <w:trPr>
          <w:trHeight w:val="250"/>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Signatures</w:t>
              </w:r>
            </w:hyperlink>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49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3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0"/>
              </w:rPr>
              <w:t>September 30, 2019</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9"/>
              </w:rPr>
              <w:t>(In thousands, except par value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106,426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281,640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297,427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51,853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460,994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455,706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53,027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88,475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812,850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803,542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81,591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79,163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1,545,038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1,433,448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27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compensation and employee benefits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71,780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106,240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114,667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111,016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on debt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218,000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442,032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490,828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606,790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80,424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43,362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46,063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1,304,077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1,143,681</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($0.01 par value; 1,000 shares authorized; none issued and outstanding)</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($0.01 par value; 200,000 shares authorized, 88,857 shares issued and 29,186 and 28,944</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outstanding at December 31, 2019 and September 30, 2019,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1,148,190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1,225,365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Treasury stock, at cost (59,671 and 59,913 shares at December 31, 2019 and September 30, 2019,</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(2,843,097)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(2,802,450)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2,011,569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1,956,648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(90,085)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240,961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289,767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1,545,038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1,433,448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Quarter Ended December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32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 share data)</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1180" w:type="dxa"/>
            <w:vAlign w:val="bottom"/>
          </w:tcPr>
          <w:p>
            <w:pPr>
              <w:jc w:val="right"/>
              <w:ind w:right="978"/>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220,374</w:t>
            </w:r>
          </w:p>
        </w:tc>
        <w:tc>
          <w:tcPr>
            <w:tcW w:w="100" w:type="dxa"/>
            <w:vAlign w:val="bottom"/>
          </w:tcPr>
          <w:p>
            <w:pPr>
              <w:spacing w:after="0"/>
              <w:rPr>
                <w:sz w:val="21"/>
                <w:szCs w:val="21"/>
                <w:color w:val="auto"/>
              </w:rPr>
            </w:pP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194,193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44,025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40,808</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License</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34,105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27,255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298,504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262,256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90,758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76,066</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38,943</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35,426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112,021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100,258</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acquisition-related</w:t>
            </w:r>
          </w:p>
        </w:tc>
        <w:tc>
          <w:tcPr>
            <w:tcW w:w="1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246,622</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213,252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51,882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49,004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(9,768)</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41,895</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37,156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(13,026)</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54,921</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40,007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gain (loss):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14,092</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180" w:type="dxa"/>
            <w:vAlign w:val="bottom"/>
            <w:tcBorders>
              <w:bottom w:val="single" w:sz="8" w:color="CCEEFF"/>
            </w:tcBorders>
            <w:shd w:val="clear" w:color="auto" w:fill="CCEEFF"/>
          </w:tcPr>
          <w:p>
            <w:pPr>
              <w:jc w:val="right"/>
              <w:ind w:right="978"/>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69,013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36,742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180" w:type="dxa"/>
            <w:vAlign w:val="bottom"/>
            <w:tcBorders>
              <w:bottom w:val="single" w:sz="8" w:color="CCEEFF"/>
            </w:tcBorders>
            <w:shd w:val="clear" w:color="auto" w:fill="CCEEFF"/>
          </w:tcPr>
          <w:p>
            <w:pPr>
              <w:jc w:val="right"/>
              <w:ind w:right="978"/>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1180" w:type="dxa"/>
            <w:vAlign w:val="bottom"/>
          </w:tcPr>
          <w:p>
            <w:pPr>
              <w:jc w:val="right"/>
              <w:ind w:right="978"/>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1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Basic</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29,025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28,961</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30,169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30,336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86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7"/>
              </w:rPr>
              <w:t>Paid-in-</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ind w:left="6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60" w:type="dxa"/>
            <w:vAlign w:val="bottom"/>
            <w:vMerge w:val="restart"/>
          </w:tcPr>
          <w:p>
            <w:pPr>
              <w:jc w:val="center"/>
              <w:ind w:right="8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2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7"/>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2019</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28,944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289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1,225,365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(2,802,450)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1,956,648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(90,085)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289,767</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23,145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23,145</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Issuance of treasury stock under employee stock plans</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(100,320)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19,361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(80,955)</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(60,008)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(60,009)</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54,921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54,921</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14,092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14,092</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29,186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1,148,190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(2,843,097)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2,011,569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(75,993)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240,961</w:t>
            </w:r>
          </w:p>
        </w:tc>
        <w:tc>
          <w:tcPr>
            <w:tcW w:w="0" w:type="dxa"/>
            <w:vAlign w:val="bottom"/>
          </w:tcPr>
          <w:p>
            <w:pPr>
              <w:spacing w:after="0"/>
              <w:rPr>
                <w:sz w:val="1"/>
                <w:szCs w:val="1"/>
                <w:color w:val="auto"/>
              </w:rPr>
            </w:pPr>
          </w:p>
        </w:tc>
      </w:tr>
      <w:tr>
        <w:trPr>
          <w:trHeight w:val="60"/>
        </w:trPr>
        <w:tc>
          <w:tcPr>
            <w:tcW w:w="322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220" w:type="dxa"/>
            <w:vAlign w:val="bottom"/>
          </w:tcPr>
          <w:p>
            <w:pPr>
              <w:spacing w:after="0"/>
              <w:rPr>
                <w:sz w:val="24"/>
                <w:szCs w:val="24"/>
                <w:color w:val="auto"/>
              </w:rPr>
            </w:pPr>
          </w:p>
        </w:tc>
        <w:tc>
          <w:tcPr>
            <w:tcW w:w="186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24"/>
                <w:szCs w:val="24"/>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7"/>
              </w:rPr>
              <w:t>Paid-in-</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ind w:left="6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60" w:type="dxa"/>
            <w:vAlign w:val="bottom"/>
            <w:vMerge w:val="restart"/>
          </w:tcPr>
          <w:p>
            <w:pPr>
              <w:jc w:val="center"/>
              <w:ind w:right="8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32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220" w:type="dxa"/>
            <w:vAlign w:val="bottom"/>
            <w:vMerge w:val="continue"/>
          </w:tcPr>
          <w:p>
            <w:pPr>
              <w:spacing w:after="0"/>
              <w:rPr>
                <w:sz w:val="9"/>
                <w:szCs w:val="9"/>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9"/>
                <w:szCs w:val="9"/>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9"/>
                <w:szCs w:val="9"/>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9"/>
                <w:szCs w:val="9"/>
                <w:color w:val="auto"/>
              </w:rPr>
            </w:pPr>
          </w:p>
        </w:tc>
        <w:tc>
          <w:tcPr>
            <w:tcW w:w="11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87"/>
        </w:trPr>
        <w:tc>
          <w:tcPr>
            <w:tcW w:w="32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2018</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29,015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1,211,051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(2,612,007)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1,764,524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(76,421)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287,437</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21,854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21,854</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Issuance of treasury stock under employee stock plans</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(56,135)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(35,438)</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(82,696)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(82,700)</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40,007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40,007</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(3,265)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(3,265)</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29,056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1,176,770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(2,674,011)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1,804,531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(79,686)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227,895</w:t>
            </w:r>
          </w:p>
        </w:tc>
        <w:tc>
          <w:tcPr>
            <w:tcW w:w="0" w:type="dxa"/>
            <w:vAlign w:val="bottom"/>
          </w:tcPr>
          <w:p>
            <w:pPr>
              <w:spacing w:after="0"/>
              <w:rPr>
                <w:sz w:val="1"/>
                <w:szCs w:val="1"/>
                <w:color w:val="auto"/>
              </w:rPr>
            </w:pPr>
          </w:p>
        </w:tc>
      </w:tr>
      <w:tr>
        <w:trPr>
          <w:trHeight w:val="60"/>
        </w:trPr>
        <w:tc>
          <w:tcPr>
            <w:tcW w:w="322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125" w:right="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4"/>
                <w:szCs w:val="14"/>
                <w:b w:val="1"/>
                <w:bCs w:val="1"/>
                <w:color w:val="auto"/>
              </w:rPr>
              <w:t>Quarter Ended December 31,</w:t>
            </w: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54,921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40,007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7,856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7,967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(gain) loss on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Operating lease costs (amortization of operating lease right-of-use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(gain) loss on sales of property and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22,391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18,191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10,349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1,671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compensation and employee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(28,918)</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60,365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48,857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(6,474)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from other investments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revolving line of credit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117,000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revolving line of credit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issuance of senior notes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 on finance leases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treasury stock under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Taxes paid related to net share settlement of equity awards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(86,047)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(82,700)</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(48,195)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(50,137)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 cash</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90,023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111,216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79,896</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 income taxes, net of refunds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 included in 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Finance lease obligations incurred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Isaac Corporation</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Incorporated under the laws of the State of Delaware, Fair Isaac Corporation (“FICO”) is a provider of analytic, software and data management products and services that enable businesses to automate, improve and connect decisions. FICO provides a range of analytical solutions, credit scoring and credit account management products and services to banks, credit reporting agencies, credit card processing agencies, insurers, retailers, telecommunications providers, pharmaceutical companies, healthcare organizations, public agencies and organizations in other industries.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Quarterly Report on Form 10-Q, Fair Isaac Corporation is referred to as “FICO,” “we,” “us,” “our,” or “the Company.”</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2019. The interim financial information contained in this report is not necessarily indicative of the results to be expected for any other interim period or for the entire fiscal year.</w:t>
      </w:r>
    </w:p>
    <w:p>
      <w:pPr>
        <w:spacing w:after="0" w:line="11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As discussed in New Accounting Pronouncements below and Note 14, effective October 1, 2019, we adopted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and subsequent amendments to the initial guidance: ASU 2017-13, ASU 2018-10, ASU 2018-11, ASU 2018-20 and ASU 2019-01 (collectively, “Topic 842”) using the modified retrospective approach, under which financial results reported in prior periods were not restated. As a result, the condensed consolidated balance sheet as of December 31, 2019 is not comparable with that as of September 30, 2019. See our Annual Report on Form 10-K filed with the SEC on November 8, 2019 for lease policies that were in effect in prior periods before adoption of Topic 842.</w:t>
      </w:r>
    </w:p>
    <w:p>
      <w:pPr>
        <w:spacing w:after="0" w:line="2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FICO and its subsidiaries. All intercompany accounts and transactions have been eliminated.</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make estimates and assumptions that affect the amounts reported in the financial statements and the disclosures made in the accompanying notes. For example, we use estimates in determining the collectability of accounts receivable; the appropriate levels of various accruals;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3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2016, the Financial Accounting Standards Board (“FASB”) issued Topic 842, which requires the recognition of operating lease assets and lease liabilities on the balance sheet. Leases will be classified as either finance or operating, with classification affecting the pattern of expense recognition in the income statement. Under the new standard, disclosures are required to enable users of financial statements to assess the amount, timing and uncertainty of cash flows arising from leases.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the first quarter of fiscal 2020, we adopted Topic 842 using the “Comparatives Under 840 Option” approach to transition. In accordance with the standard, the comparative information has not been restated and continues to be reported under the accounting standards in effect for those periods. Topic 842 provided a package of practical expedients that allow an entity to not reassess (1) whether any expired or existing contracts contain a lease, (2) the lease classification of any expired or existing lease, and (3) initial direct costs for any existing leases. We elected to apply the package of practical expedients, and did not elect the hindsight practical expedient in determining the lease term for existing leases as of October 1, 2019.</w:t>
      </w:r>
    </w:p>
    <w:p>
      <w:pPr>
        <w:spacing w:after="0" w:line="29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Adoption of Topic 842 did not result in the recognition of a cumulative-effect adjustment to the opening balance of retained earnings in the period of adoption. The most significant impact of adoption was the recognition of operating lease assets and operating lease liabilities of $89.8 million and $98.9 million, respectively, while our accounting for existing capital leases (now referred to as finance leases) remained substantially unchanged. We expect the impact of adoption to be immaterial to our consolidated statements of income and comprehensive income and consolidated statements of cash flows on an ongoing basis. As part of our adoption, we also modified our control procedures and processes, none of which materially affected our internal control over financial reporting. See Note 14 for additional information regarding our accounting policy for leases and additional disclosures.</w:t>
      </w: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August 2018, the FASB issued ASU No. 2018-15, “</w:t>
      </w:r>
      <w:r>
        <w:rPr>
          <w:rFonts w:ascii="Arial" w:cs="Arial" w:eastAsia="Arial" w:hAnsi="Arial"/>
          <w:sz w:val="17"/>
          <w:szCs w:val="17"/>
          <w:i w:val="1"/>
          <w:iCs w:val="1"/>
          <w:color w:val="auto"/>
        </w:rPr>
        <w:t>Intangibles—Goodwill and Other (Topic 350): Internal-Use Software.</w:t>
      </w:r>
      <w:r>
        <w:rPr>
          <w:rFonts w:ascii="Arial" w:cs="Arial" w:eastAsia="Arial" w:hAnsi="Arial"/>
          <w:sz w:val="17"/>
          <w:szCs w:val="17"/>
          <w:color w:val="auto"/>
        </w:rPr>
        <w:t>” ASU 2018-15 aligns the requirements for capitalizing implementation costs incurred in a cloud computing arrangement that is a service contract with the requirements for capitalizing implementation costs incurred to develop or obtain internal-use software. The standard is effective for fiscal years and interim periods within those fiscal years beginning after December 15, 2019, which means that it will be effective for our fiscal year beginning October 1, 2020. Early adoption is permitted. We are currently evaluating the impact of our pending adoption of ASU 2018-15 on our consolidated financial statements.</w:t>
      </w:r>
    </w:p>
    <w:p>
      <w:pPr>
        <w:spacing w:after="0" w:line="11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and subsequent amendments to the initial guidance: ASU 2018-19, ASU 2019-04, ASU 2019-05 and ASU 2019-11 (collectively, “Topic 326”).</w:t>
      </w:r>
      <w:r>
        <w:rPr>
          <w:rFonts w:ascii="Arial" w:cs="Arial" w:eastAsia="Arial" w:hAnsi="Arial"/>
          <w:sz w:val="16"/>
          <w:szCs w:val="16"/>
          <w:i w:val="1"/>
          <w:iCs w:val="1"/>
          <w:color w:val="auto"/>
        </w:rPr>
        <w:t xml:space="preserve"> </w:t>
      </w:r>
      <w:r>
        <w:rPr>
          <w:rFonts w:ascii="Arial" w:cs="Arial" w:eastAsia="Arial" w:hAnsi="Arial"/>
          <w:sz w:val="16"/>
          <w:szCs w:val="16"/>
          <w:color w:val="auto"/>
        </w:rPr>
        <w:t>Topic 326 requires measurement and recognition of expected credit losses for financial assets held. Topic 326 is effective for fiscal years and interim periods within those fiscal years beginning after December 15, 2019, which means it will be effective for our fiscal year beginning October 1, 2020. Early adoption is permitted. We are currently evaluating the impact of our pending adoption of Topic 326 on our consolidated financial statements.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expect that any other recently issued accounting pronouncements will have a significant effect on our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160" w:lineRule="exact"/>
        <w:rPr>
          <w:sz w:val="20"/>
          <w:szCs w:val="20"/>
          <w:color w:val="auto"/>
        </w:rPr>
      </w:pPr>
    </w:p>
    <w:p>
      <w:pPr>
        <w:jc w:val="both"/>
        <w:ind w:left="1300" w:hanging="563"/>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uses unadjusted quoted prices that are available in active markets for identical assets or liabilities. Our Level 1 assets are comprised of money market funds and certain marketable securities. We do not have any liabilities that are valued using inputs identified under a Level 1 hierarchy as of December 31, 2019 and September 30, 2019.</w:t>
      </w:r>
    </w:p>
    <w:p>
      <w:pPr>
        <w:spacing w:after="0" w:line="73" w:lineRule="exact"/>
        <w:rPr>
          <w:rFonts w:ascii="Arial" w:cs="Arial" w:eastAsia="Arial" w:hAnsi="Arial"/>
          <w:sz w:val="18"/>
          <w:szCs w:val="18"/>
          <w:color w:val="auto"/>
        </w:rPr>
      </w:pPr>
    </w:p>
    <w:p>
      <w:pPr>
        <w:jc w:val="both"/>
        <w:ind w:left="1300" w:hanging="563"/>
        <w:spacing w:after="0" w:line="25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do not have any assets that are valued using inputs identified under a Level 2 hierarchy as of December 31, 2019 and September 30, 2019. We measure the fair value of the Senior Notes based on Level 2 inputs, which include quoted market prices and interest rate spreads of similar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left="1300" w:hanging="563"/>
        <w:spacing w:after="0" w:line="25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do not have any assets or liabilities that are valued using inputs identified under a Level 3 hierarchy as of December 31, 2019 and September 30, 2019.</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represent financial assets that we measured at fair value on a recurring basis at December 31, 2019 and September 30, 2019: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Active Markets for</w:t>
            </w:r>
          </w:p>
        </w:tc>
        <w:tc>
          <w:tcPr>
            <w:tcW w:w="1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Fair Value as of December</w:t>
            </w:r>
          </w:p>
        </w:tc>
        <w:tc>
          <w:tcPr>
            <w:tcW w:w="0" w:type="dxa"/>
            <w:vAlign w:val="bottom"/>
          </w:tcPr>
          <w:p>
            <w:pPr>
              <w:spacing w:after="0"/>
              <w:rPr>
                <w:sz w:val="1"/>
                <w:szCs w:val="1"/>
                <w:color w:val="auto"/>
              </w:rPr>
            </w:pPr>
          </w:p>
        </w:tc>
      </w:tr>
      <w:tr>
        <w:trPr>
          <w:trHeight w:val="149"/>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2"/>
                <w:szCs w:val="12"/>
                <w:color w:val="auto"/>
              </w:rPr>
            </w:pPr>
          </w:p>
        </w:tc>
        <w:tc>
          <w:tcPr>
            <w:tcW w:w="1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Identical Instruments</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6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1"/>
              </w:rPr>
              <w:t>31, 2019</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gridSpan w:val="3"/>
          </w:tcPr>
          <w:p>
            <w:pPr>
              <w:ind w:left="1240"/>
              <w:spacing w:after="0"/>
              <w:rPr>
                <w:sz w:val="20"/>
                <w:szCs w:val="20"/>
                <w:color w:val="auto"/>
              </w:rPr>
            </w:pPr>
            <w:r>
              <w:rPr>
                <w:rFonts w:ascii="Arial" w:cs="Arial" w:eastAsia="Arial" w:hAnsi="Arial"/>
                <w:sz w:val="14"/>
                <w:szCs w:val="14"/>
                <w:b w:val="1"/>
                <w:bCs w:val="1"/>
                <w:color w:val="auto"/>
                <w:w w:val="93"/>
              </w:rPr>
              <w:t>(In thousands)</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equivalents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40"/>
              <w:spacing w:after="0"/>
              <w:rPr>
                <w:sz w:val="20"/>
                <w:szCs w:val="20"/>
                <w:color w:val="auto"/>
              </w:rPr>
            </w:pPr>
            <w:r>
              <w:rPr>
                <w:rFonts w:ascii="Arial" w:cs="Arial" w:eastAsia="Arial" w:hAnsi="Arial"/>
                <w:sz w:val="18"/>
                <w:szCs w:val="18"/>
                <w:color w:val="auto"/>
              </w:rPr>
              <w:t>26,320</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26,320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(2)</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23,732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23,732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50,052</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50,052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Active Markets for</w:t>
            </w:r>
          </w:p>
        </w:tc>
        <w:tc>
          <w:tcPr>
            <w:tcW w:w="320" w:type="dxa"/>
            <w:vAlign w:val="bottom"/>
          </w:tcPr>
          <w:p>
            <w:pPr>
              <w:spacing w:after="0"/>
              <w:rPr>
                <w:sz w:val="24"/>
                <w:szCs w:val="24"/>
                <w:color w:val="auto"/>
              </w:rPr>
            </w:pPr>
          </w:p>
        </w:tc>
        <w:tc>
          <w:tcPr>
            <w:tcW w:w="1380" w:type="dxa"/>
            <w:vAlign w:val="bottom"/>
            <w:vMerge w:val="restart"/>
          </w:tcPr>
          <w:p>
            <w:pPr>
              <w:jc w:val="center"/>
              <w:ind w:right="234"/>
              <w:spacing w:after="0"/>
              <w:rPr>
                <w:sz w:val="20"/>
                <w:szCs w:val="20"/>
                <w:color w:val="auto"/>
              </w:rPr>
            </w:pPr>
            <w:r>
              <w:rPr>
                <w:rFonts w:ascii="Arial" w:cs="Arial" w:eastAsia="Arial" w:hAnsi="Arial"/>
                <w:sz w:val="14"/>
                <w:szCs w:val="14"/>
                <w:b w:val="1"/>
                <w:bCs w:val="1"/>
                <w:color w:val="auto"/>
                <w:w w:val="94"/>
              </w:rPr>
              <w:t>Fair Value as of</w:t>
            </w:r>
          </w:p>
        </w:tc>
        <w:tc>
          <w:tcPr>
            <w:tcW w:w="0" w:type="dxa"/>
            <w:vAlign w:val="bottom"/>
          </w:tcPr>
          <w:p>
            <w:pPr>
              <w:spacing w:after="0"/>
              <w:rPr>
                <w:sz w:val="1"/>
                <w:szCs w:val="1"/>
                <w:color w:val="auto"/>
              </w:rPr>
            </w:pPr>
          </w:p>
        </w:tc>
      </w:tr>
      <w:tr>
        <w:trPr>
          <w:trHeight w:val="149"/>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Pr>
          <w:p>
            <w:pPr>
              <w:spacing w:after="0"/>
              <w:rPr>
                <w:sz w:val="12"/>
                <w:szCs w:val="12"/>
                <w:color w:val="auto"/>
              </w:rPr>
            </w:pPr>
          </w:p>
        </w:tc>
        <w:tc>
          <w:tcPr>
            <w:tcW w:w="1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Identical Instruments</w:t>
            </w: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6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September 30, 2019</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gridSpan w:val="3"/>
          </w:tcPr>
          <w:p>
            <w:pPr>
              <w:ind w:left="1240"/>
              <w:spacing w:after="0"/>
              <w:rPr>
                <w:sz w:val="20"/>
                <w:szCs w:val="20"/>
                <w:color w:val="auto"/>
              </w:rPr>
            </w:pPr>
            <w:r>
              <w:rPr>
                <w:rFonts w:ascii="Arial" w:cs="Arial" w:eastAsia="Arial" w:hAnsi="Arial"/>
                <w:sz w:val="14"/>
                <w:szCs w:val="14"/>
                <w:b w:val="1"/>
                <w:bCs w:val="1"/>
                <w:color w:val="auto"/>
                <w:w w:val="93"/>
              </w:rPr>
              <w:t>(In thousands)</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equivalents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40"/>
              <w:spacing w:after="0"/>
              <w:rPr>
                <w:sz w:val="20"/>
                <w:szCs w:val="20"/>
                <w:color w:val="auto"/>
              </w:rPr>
            </w:pPr>
            <w:r>
              <w:rPr>
                <w:rFonts w:ascii="Arial" w:cs="Arial" w:eastAsia="Arial" w:hAnsi="Arial"/>
                <w:sz w:val="18"/>
                <w:szCs w:val="18"/>
                <w:color w:val="auto"/>
              </w:rPr>
              <w:t>28,901</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28,901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(2)</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20,222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20,222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49,123</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49,123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line="29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Included in cash and cash equivalents on our condensed consolidated balance sheets at December 31, 2019 and September 30, 2019. Not included in these tables are cash deposits of $84.9 million and $77.5 million at December 31, 2019 and September 30, 2019, respectively.</w:t>
      </w: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securities held under a supplemental retirement and savings plan for senior management employees, which are distributed upon termination or retirement of the employees. Included in marketable securities on our condensed consolidated balance sheets at December 31, 2019 and September 30, 2019.</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fair value of our derivative instruments and senior notes, see Note 3 and Note 7, respectively.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There were no transfers between Level 1, Level 2, and Level 3 of the fair value hierarchy during the quarters ended December 31, 2019 and 2018.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 Financial Instruments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respective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Foreign-currency-denominated receivable and cash balances are remeasured at foreign exchange rates in effect on the balance sheet date with the effects of changes in foreign exchange rates reported in other expense, net. The forward contracts are not designated as hedges and are marked to market through other expense,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December 31, 2019 and September 30, 2019:</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6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jc w:val="center"/>
              <w:ind w:right="379"/>
              <w:spacing w:after="0" w:line="153" w:lineRule="exact"/>
              <w:rPr>
                <w:sz w:val="20"/>
                <w:szCs w:val="20"/>
                <w:color w:val="auto"/>
              </w:rPr>
            </w:pPr>
            <w:r>
              <w:rPr>
                <w:rFonts w:ascii="Arial" w:cs="Arial" w:eastAsia="Arial" w:hAnsi="Arial"/>
                <w:sz w:val="14"/>
                <w:szCs w:val="14"/>
                <w:b w:val="1"/>
                <w:bCs w:val="1"/>
                <w:color w:val="auto"/>
                <w:w w:val="89"/>
              </w:rPr>
              <w:t>Foreign</w:t>
            </w:r>
          </w:p>
        </w:tc>
        <w:tc>
          <w:tcPr>
            <w:tcW w:w="280" w:type="dxa"/>
            <w:vAlign w:val="bottom"/>
          </w:tcPr>
          <w:p>
            <w:pPr>
              <w:spacing w:after="0"/>
              <w:rPr>
                <w:sz w:val="13"/>
                <w:szCs w:val="13"/>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3"/>
                <w:szCs w:val="13"/>
                <w:color w:val="auto"/>
              </w:rPr>
            </w:pPr>
          </w:p>
        </w:tc>
        <w:tc>
          <w:tcPr>
            <w:tcW w:w="120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94"/>
              </w:rPr>
              <w:t>Currency</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 foreign currency:</w:t>
            </w:r>
          </w:p>
        </w:tc>
        <w:tc>
          <w:tcPr>
            <w:tcW w:w="4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Euro (EUR)</w:t>
            </w:r>
          </w:p>
        </w:tc>
        <w:tc>
          <w:tcPr>
            <w:tcW w:w="460" w:type="dxa"/>
            <w:vAlign w:val="bottom"/>
          </w:tcPr>
          <w:p>
            <w:pPr>
              <w:ind w:left="20"/>
              <w:spacing w:after="0"/>
              <w:rPr>
                <w:sz w:val="20"/>
                <w:szCs w:val="20"/>
                <w:color w:val="auto"/>
              </w:rPr>
            </w:pPr>
            <w:r>
              <w:rPr>
                <w:rFonts w:ascii="Arial" w:cs="Arial" w:eastAsia="Arial" w:hAnsi="Arial"/>
                <w:sz w:val="18"/>
                <w:szCs w:val="18"/>
                <w:color w:val="auto"/>
              </w:rPr>
              <w:t>EUR</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11,172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foreign currency:</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British pound (GBP)</w:t>
            </w:r>
          </w:p>
        </w:tc>
        <w:tc>
          <w:tcPr>
            <w:tcW w:w="460" w:type="dxa"/>
            <w:vAlign w:val="bottom"/>
          </w:tcPr>
          <w:p>
            <w:pPr>
              <w:ind w:left="20"/>
              <w:spacing w:after="0"/>
              <w:rPr>
                <w:sz w:val="20"/>
                <w:szCs w:val="20"/>
                <w:color w:val="auto"/>
              </w:rPr>
            </w:pPr>
            <w:r>
              <w:rPr>
                <w:rFonts w:ascii="Arial" w:cs="Arial" w:eastAsia="Arial" w:hAnsi="Arial"/>
                <w:sz w:val="18"/>
                <w:szCs w:val="18"/>
                <w:color w:val="auto"/>
              </w:rPr>
              <w:t>GBP</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6,277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8,300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Singapore dollar (SGD)</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5,631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9"/>
        </w:trPr>
        <w:tc>
          <w:tcPr>
            <w:tcW w:w="66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1"/>
              </w:rPr>
              <w:t>September 30, 2019</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6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jc w:val="center"/>
              <w:ind w:right="379"/>
              <w:spacing w:after="0" w:line="153" w:lineRule="exact"/>
              <w:rPr>
                <w:sz w:val="20"/>
                <w:szCs w:val="20"/>
                <w:color w:val="auto"/>
              </w:rPr>
            </w:pPr>
            <w:r>
              <w:rPr>
                <w:rFonts w:ascii="Arial" w:cs="Arial" w:eastAsia="Arial" w:hAnsi="Arial"/>
                <w:sz w:val="14"/>
                <w:szCs w:val="14"/>
                <w:b w:val="1"/>
                <w:bCs w:val="1"/>
                <w:color w:val="auto"/>
                <w:w w:val="89"/>
              </w:rPr>
              <w:t>Foreign</w:t>
            </w:r>
          </w:p>
        </w:tc>
        <w:tc>
          <w:tcPr>
            <w:tcW w:w="280" w:type="dxa"/>
            <w:vAlign w:val="bottom"/>
          </w:tcPr>
          <w:p>
            <w:pPr>
              <w:spacing w:after="0"/>
              <w:rPr>
                <w:sz w:val="13"/>
                <w:szCs w:val="13"/>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3"/>
                <w:szCs w:val="13"/>
                <w:color w:val="auto"/>
              </w:rPr>
            </w:pPr>
          </w:p>
        </w:tc>
        <w:tc>
          <w:tcPr>
            <w:tcW w:w="120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94"/>
              </w:rPr>
              <w:t>Currency</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 foreign currency:</w:t>
            </w:r>
          </w:p>
        </w:tc>
        <w:tc>
          <w:tcPr>
            <w:tcW w:w="4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Euro (EUR)</w:t>
            </w:r>
          </w:p>
        </w:tc>
        <w:tc>
          <w:tcPr>
            <w:tcW w:w="460" w:type="dxa"/>
            <w:vAlign w:val="bottom"/>
          </w:tcPr>
          <w:p>
            <w:pPr>
              <w:ind w:left="20"/>
              <w:spacing w:after="0"/>
              <w:rPr>
                <w:sz w:val="20"/>
                <w:szCs w:val="20"/>
                <w:color w:val="auto"/>
              </w:rPr>
            </w:pPr>
            <w:r>
              <w:rPr>
                <w:rFonts w:ascii="Arial" w:cs="Arial" w:eastAsia="Arial" w:hAnsi="Arial"/>
                <w:sz w:val="18"/>
                <w:szCs w:val="18"/>
                <w:color w:val="auto"/>
              </w:rPr>
              <w:t>EUR</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10,800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foreign currency:</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British pound (GBP)</w:t>
            </w:r>
          </w:p>
        </w:tc>
        <w:tc>
          <w:tcPr>
            <w:tcW w:w="460" w:type="dxa"/>
            <w:vAlign w:val="bottom"/>
          </w:tcPr>
          <w:p>
            <w:pPr>
              <w:ind w:left="20"/>
              <w:spacing w:after="0"/>
              <w:rPr>
                <w:sz w:val="20"/>
                <w:szCs w:val="20"/>
                <w:color w:val="auto"/>
              </w:rPr>
            </w:pPr>
            <w:r>
              <w:rPr>
                <w:rFonts w:ascii="Arial" w:cs="Arial" w:eastAsia="Arial" w:hAnsi="Arial"/>
                <w:sz w:val="18"/>
                <w:szCs w:val="18"/>
                <w:color w:val="auto"/>
              </w:rPr>
              <w:t>GBP</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5,200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Singapore dollar (SGD)</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5,798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foreign currency forward contracts were entered into on December 31, 2019 and September 30, 2019, respectively; therefore, their fair value was $0 on each of these dates.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Gain (losses) on derivative financial instruments are recorded in our condensed consolidated statements of income and comprehensive income as a component of other expense, net, and consisted of the following:</w:t>
      </w:r>
    </w:p>
    <w:p>
      <w:pPr>
        <w:spacing w:after="0" w:line="270"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Quarter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340" w:val="left"/>
          <w:tab w:leader="none" w:pos="9300" w:val="left"/>
          <w:tab w:leader="none" w:pos="9960" w:val="left"/>
          <w:tab w:leader="none" w:pos="10960" w:val="left"/>
        </w:tabs>
        <w:rPr>
          <w:sz w:val="20"/>
          <w:szCs w:val="20"/>
          <w:color w:val="auto"/>
        </w:rPr>
      </w:pPr>
      <w:r>
        <w:rPr>
          <w:rFonts w:ascii="Arial" w:cs="Arial" w:eastAsia="Arial" w:hAnsi="Arial"/>
          <w:sz w:val="18"/>
          <w:szCs w:val="18"/>
          <w:color w:val="auto"/>
        </w:rPr>
        <w:t>Gains (losses) on foreign currency forward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1,145</w:t>
        <w:tab/>
        <w:t>$</w:t>
      </w:r>
      <w:r>
        <w:rPr>
          <w:sz w:val="20"/>
          <w:szCs w:val="20"/>
          <w:color w:val="auto"/>
        </w:rPr>
        <w:tab/>
      </w:r>
      <w:r>
        <w:rPr>
          <w:rFonts w:ascii="Arial" w:cs="Arial" w:eastAsia="Arial" w:hAnsi="Arial"/>
          <w:sz w:val="17"/>
          <w:szCs w:val="17"/>
          <w:color w:val="auto"/>
        </w:rPr>
        <w:t>(404)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48" w:lineRule="exact"/>
        <w:rPr>
          <w:sz w:val="20"/>
          <w:szCs w:val="20"/>
          <w:color w:val="auto"/>
        </w:rPr>
      </w:pPr>
    </w:p>
    <w:p>
      <w:pPr>
        <w:jc w:val="both"/>
        <w:ind w:firstLine="405"/>
        <w:spacing w:after="0" w:line="318" w:lineRule="auto"/>
        <w:rPr>
          <w:sz w:val="20"/>
          <w:szCs w:val="20"/>
          <w:color w:val="auto"/>
        </w:rPr>
      </w:pPr>
      <w:r>
        <w:rPr>
          <w:rFonts w:ascii="Arial" w:cs="Arial" w:eastAsia="Arial" w:hAnsi="Arial"/>
          <w:sz w:val="18"/>
          <w:szCs w:val="18"/>
          <w:color w:val="auto"/>
        </w:rPr>
        <w:t>Amortization expense associated with our intangible assets is reflected as a separate operating expense caption — amortization of intangible assets — and is excluded from cost of revenues and selling, general and administrative expenses within the accompanying condensed consolidated statements of income and comprehensive income. Amortization expense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32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Quarter Ended December 31,</w:t>
            </w:r>
          </w:p>
        </w:tc>
        <w:tc>
          <w:tcPr>
            <w:tcW w:w="6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50"/>
        </w:trPr>
        <w:tc>
          <w:tcPr>
            <w:tcW w:w="7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60" w:type="dxa"/>
            <w:vAlign w:val="bottom"/>
            <w:gridSpan w:val="3"/>
          </w:tcPr>
          <w:p>
            <w:pPr>
              <w:jc w:val="right"/>
              <w:ind w:right="796"/>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6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Customer contracts and relationships</w:t>
            </w:r>
          </w:p>
        </w:tc>
        <w:tc>
          <w:tcPr>
            <w:tcW w:w="126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1,008</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126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Estimated future intangible asset amortization expense associated with intangible assets existing at December 31, 2019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ind w:left="40"/>
              <w:spacing w:after="0"/>
              <w:rPr>
                <w:sz w:val="20"/>
                <w:szCs w:val="20"/>
                <w:color w:val="auto"/>
              </w:rPr>
            </w:pPr>
            <w:r>
              <w:rPr>
                <w:rFonts w:ascii="Arial" w:cs="Arial" w:eastAsia="Arial" w:hAnsi="Arial"/>
                <w:sz w:val="14"/>
                <w:szCs w:val="14"/>
                <w:b w:val="1"/>
                <w:bCs w:val="1"/>
                <w:color w:val="auto"/>
              </w:rPr>
              <w:t>Year Ending September 30,</w:t>
            </w:r>
          </w:p>
        </w:tc>
        <w:tc>
          <w:tcPr>
            <w:tcW w:w="320" w:type="dxa"/>
            <w:vAlign w:val="bottom"/>
          </w:tcPr>
          <w:p>
            <w:pPr>
              <w:spacing w:after="0"/>
              <w:rPr>
                <w:sz w:val="16"/>
                <w:szCs w:val="16"/>
                <w:color w:val="auto"/>
              </w:rPr>
            </w:pPr>
          </w:p>
        </w:tc>
        <w:tc>
          <w:tcPr>
            <w:tcW w:w="1620" w:type="dxa"/>
            <w:vAlign w:val="bottom"/>
          </w:tcPr>
          <w:p>
            <w:pPr>
              <w:jc w:val="right"/>
              <w:ind w:right="4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(excluding the quarter ended December 31,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3,664</w:t>
            </w:r>
          </w:p>
        </w:tc>
      </w:tr>
      <w:tr>
        <w:trPr>
          <w:trHeight w:val="27"/>
        </w:trPr>
        <w:tc>
          <w:tcPr>
            <w:tcW w:w="9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3,372</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1,317</w:t>
            </w:r>
          </w:p>
        </w:tc>
      </w:tr>
      <w:tr>
        <w:trPr>
          <w:trHeight w:val="27"/>
        </w:trPr>
        <w:tc>
          <w:tcPr>
            <w:tcW w:w="9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917</w:t>
            </w:r>
          </w:p>
        </w:tc>
      </w:tr>
      <w:tr>
        <w:trPr>
          <w:trHeight w:val="237"/>
        </w:trPr>
        <w:tc>
          <w:tcPr>
            <w:tcW w:w="94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12,484</w:t>
            </w:r>
          </w:p>
        </w:tc>
      </w:tr>
      <w:tr>
        <w:trPr>
          <w:trHeight w:val="27"/>
        </w:trPr>
        <w:tc>
          <w:tcPr>
            <w:tcW w:w="9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9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changes to goodwill during the quarter ended December 31, 2019, both in total and as allocated to our segments: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Applications</w:t>
            </w:r>
          </w:p>
        </w:tc>
        <w:tc>
          <w:tcPr>
            <w:tcW w:w="340" w:type="dxa"/>
            <w:vAlign w:val="bottom"/>
          </w:tcPr>
          <w:p>
            <w:pPr>
              <w:spacing w:after="0"/>
              <w:rPr>
                <w:sz w:val="14"/>
                <w:szCs w:val="1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Decision Management</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5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Software</w:t>
            </w:r>
          </w:p>
        </w:tc>
        <w:tc>
          <w:tcPr>
            <w:tcW w:w="3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1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588,614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146,648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68,280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803,542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8,292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9,308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596,906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146,648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69,296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812,850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Composition of Certain Financial Statement Captions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property and equipment, and the related accumulated depreciation and amortization, at December 31,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w w:val="98"/>
              </w:rPr>
              <w:t>September 30,</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gridSpan w:val="4"/>
          </w:tcPr>
          <w:p>
            <w:pPr>
              <w:jc w:val="right"/>
              <w:ind w:right="997"/>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181,176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172,075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(119,048)</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56,156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53,027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Revolving Line of Credit</w:t>
      </w:r>
    </w:p>
    <w:p>
      <w:pPr>
        <w:spacing w:after="0" w:line="17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have a $400 million unsecured revolving line of credit with a syndicate of banks that expires on May 8, 2023 with an option to increase it by another $100 million.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maximum consolidated leverage ratio of 3.25, subject to a step up to 3.75 following certain permitted acquisitions; and a minimum fixed charge ratio of 2.50 through the maturity of our 2010 Senior Notes in July 2020, upon which maintaining a minimum interest coverage ratio of 3.00. The credit agreement also contains other covenants typical of unsecured facilities. As of December 31, 2019, we had $95.0 million in borrowings outstanding at a weighted average interest rate of 2.900%. We were in compliance with all financial covenants under this credit facility as of December 31, 2019.</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Notes</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July 14, 2010, we issued $245 million of senior notes in a private placement to a group of institutional investors (the “2010 Senior Notes”). The 2010 Senior Notes were issued in four series with maturities ranging from 6 to 10 years. The outstanding 2010 Senior Notes’ weighted average interest rate is 5.6% and the weighted average maturity is 10.0 years. The 2010 Senior Notes require interest payments semi-annually and contain certain restrictive covenants, including the maintenance of a maximum consolidated net debt to consolidated EBITDA ratio of 3.00 and a minimum fixed charge coverage ratio of 2.50. We were in compliance with all financial covenants under the 2010 Senior Notes as of December 31, 2019.</w:t>
      </w:r>
    </w:p>
    <w:p>
      <w:pPr>
        <w:spacing w:after="0" w:line="11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December 6, 2019, we issued $350 million of senior notes in a private offering to qualified institutional investors (the “2019 Senior Notes”, along with the 2010 Senior Notes and 2018 Senior Notes, the “Senior Notes”). We have used the net proceeds to repay a large portion of the outstanding balance on our revolving credit facility. The 2019 Senior Notes require interest payments semi-annually at a rate of 4.00% per annum and will mature on June 15, 2028.</w:t>
      </w:r>
    </w:p>
    <w:p>
      <w:pPr>
        <w:spacing w:after="0" w:line="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purchase agreements for the 2010 Senior Notes, as well as the indentures for the 2018 Senior Notes and 2019 Senior Notes contain certain covenants typical of unsecured obligations.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carrying amounts and fair values for the Senior Notes at December 31, 2019 and September 30,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3"/>
                <w:szCs w:val="13"/>
                <w:color w:val="auto"/>
              </w:rPr>
            </w:pPr>
          </w:p>
        </w:tc>
        <w:tc>
          <w:tcPr>
            <w:tcW w:w="12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8"/>
              </w:rPr>
              <w:t>Amounts (*)</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Amounts (*)</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2010 Senior Notes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85,892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86,121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The 2018 Senior Notes</w:t>
            </w:r>
          </w:p>
        </w:tc>
        <w:tc>
          <w:tcPr>
            <w:tcW w:w="240" w:type="dxa"/>
            <w:vAlign w:val="bottom"/>
          </w:tcPr>
          <w:p>
            <w:pPr>
              <w:spacing w:after="0"/>
              <w:rPr>
                <w:sz w:val="21"/>
                <w:szCs w:val="21"/>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442,000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428,000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2019 Senior Notes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353,937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835,000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881,829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485,000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514,121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640" w:hanging="227"/>
        <w:spacing w:after="0"/>
        <w:tabs>
          <w:tab w:leader="none" w:pos="640" w:val="left"/>
        </w:tabs>
        <w:numPr>
          <w:ilvl w:val="0"/>
          <w:numId w:val="7"/>
        </w:numPr>
        <w:rPr>
          <w:rFonts w:ascii="Arial" w:cs="Arial" w:eastAsia="Arial" w:hAnsi="Arial"/>
          <w:sz w:val="15"/>
          <w:szCs w:val="15"/>
          <w:color w:val="auto"/>
        </w:rPr>
      </w:pPr>
      <w:r>
        <w:rPr>
          <w:rFonts w:ascii="Arial" w:cs="Arial" w:eastAsia="Arial" w:hAnsi="Arial"/>
          <w:sz w:val="17"/>
          <w:szCs w:val="17"/>
          <w:color w:val="auto"/>
        </w:rPr>
        <w:t>Amounts exclusive of net debt issuance cost of $11.7 million and $5.2 million at December 31, 2019 and September 30, 2019, respectively.</w:t>
      </w:r>
    </w:p>
    <w:p>
      <w:pPr>
        <w:spacing w:after="0" w:line="1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measure the fair value of the Senior Notes based on Level 2 inputs, which include quoted market prices and interest rate spreads of similar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Expenses</w:t>
      </w:r>
    </w:p>
    <w:p>
      <w:pPr>
        <w:spacing w:after="0" w:line="121"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7"/>
          <w:szCs w:val="17"/>
          <w:color w:val="auto"/>
        </w:rPr>
        <w:t>During the quarter ended December 31, 2019, we incurred $3.1 million in employee separation costs due to the elimination of 69 positions throughout the Company. Cash payment for all of the employee separation costs will be paid by the end of the second quarter of our fiscal 2020.</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restructuring expenses incurred during the quarter ended December 31, 2018.</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summarizes our restructuring accruals related to facility closures and employee separation. The balances at December 31, 2019 and September 30, 2019 were classified as current liabilities and recorded in other accrued liabilities within the accompanying condensed consolidated balance sheets.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Accrual at</w:t>
            </w:r>
          </w:p>
        </w:tc>
        <w:tc>
          <w:tcPr>
            <w:tcW w:w="340" w:type="dxa"/>
            <w:vAlign w:val="bottom"/>
          </w:tcPr>
          <w:p>
            <w:pPr>
              <w:spacing w:after="0"/>
              <w:rPr>
                <w:sz w:val="15"/>
                <w:szCs w:val="15"/>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Expense</w:t>
            </w:r>
          </w:p>
        </w:tc>
        <w:tc>
          <w:tcPr>
            <w:tcW w:w="240" w:type="dxa"/>
            <w:vAlign w:val="bottom"/>
          </w:tcPr>
          <w:p>
            <w:pPr>
              <w:spacing w:after="0"/>
              <w:rPr>
                <w:sz w:val="15"/>
                <w:szCs w:val="15"/>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Cash</w:t>
            </w:r>
          </w:p>
        </w:tc>
        <w:tc>
          <w:tcPr>
            <w:tcW w:w="260" w:type="dxa"/>
            <w:vAlign w:val="bottom"/>
          </w:tcPr>
          <w:p>
            <w:pPr>
              <w:spacing w:after="0"/>
              <w:rPr>
                <w:sz w:val="15"/>
                <w:szCs w:val="15"/>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 (*)</w:t>
            </w:r>
          </w:p>
        </w:tc>
        <w:tc>
          <w:tcPr>
            <w:tcW w:w="200" w:type="dxa"/>
            <w:vAlign w:val="bottom"/>
          </w:tcPr>
          <w:p>
            <w:pPr>
              <w:spacing w:after="0"/>
              <w:rPr>
                <w:sz w:val="15"/>
                <w:szCs w:val="15"/>
                <w:color w:val="auto"/>
              </w:rPr>
            </w:pPr>
          </w:p>
        </w:tc>
        <w:tc>
          <w:tcPr>
            <w:tcW w:w="1500" w:type="dxa"/>
            <w:vAlign w:val="bottom"/>
          </w:tcPr>
          <w:p>
            <w:pPr>
              <w:jc w:val="right"/>
              <w:ind w:right="437"/>
              <w:spacing w:after="0"/>
              <w:rPr>
                <w:sz w:val="20"/>
                <w:szCs w:val="20"/>
                <w:color w:val="auto"/>
              </w:rPr>
            </w:pPr>
            <w:r>
              <w:rPr>
                <w:rFonts w:ascii="Arial" w:cs="Arial" w:eastAsia="Arial" w:hAnsi="Arial"/>
                <w:sz w:val="14"/>
                <w:szCs w:val="14"/>
                <w:b w:val="1"/>
                <w:bCs w:val="1"/>
                <w:color w:val="auto"/>
              </w:rPr>
              <w:t>Accrual at</w:t>
            </w:r>
          </w:p>
        </w:tc>
        <w:tc>
          <w:tcPr>
            <w:tcW w:w="0" w:type="dxa"/>
            <w:vAlign w:val="bottom"/>
          </w:tcPr>
          <w:p>
            <w:pPr>
              <w:spacing w:after="0"/>
              <w:rPr>
                <w:sz w:val="1"/>
                <w:szCs w:val="1"/>
                <w:color w:val="auto"/>
              </w:rPr>
            </w:pPr>
          </w:p>
        </w:tc>
      </w:tr>
      <w:tr>
        <w:trPr>
          <w:trHeight w:val="105"/>
        </w:trPr>
        <w:tc>
          <w:tcPr>
            <w:tcW w:w="2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September 30, 2019</w:t>
            </w:r>
          </w:p>
        </w:tc>
        <w:tc>
          <w:tcPr>
            <w:tcW w:w="340" w:type="dxa"/>
            <w:vAlign w:val="bottom"/>
          </w:tcPr>
          <w:p>
            <w:pPr>
              <w:spacing w:after="0"/>
              <w:rPr>
                <w:sz w:val="9"/>
                <w:szCs w:val="9"/>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Additions</w:t>
            </w:r>
          </w:p>
        </w:tc>
        <w:tc>
          <w:tcPr>
            <w:tcW w:w="240" w:type="dxa"/>
            <w:vAlign w:val="bottom"/>
          </w:tcPr>
          <w:p>
            <w:pPr>
              <w:spacing w:after="0"/>
              <w:rPr>
                <w:sz w:val="9"/>
                <w:szCs w:val="9"/>
                <w:color w:val="auto"/>
              </w:rPr>
            </w:pPr>
          </w:p>
        </w:tc>
        <w:tc>
          <w:tcPr>
            <w:tcW w:w="15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Payments</w:t>
            </w:r>
          </w:p>
        </w:tc>
        <w:tc>
          <w:tcPr>
            <w:tcW w:w="2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2"/>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Employee separation</w:t>
            </w:r>
          </w:p>
        </w:tc>
        <w:tc>
          <w:tcPr>
            <w:tcW w:w="180" w:type="dxa"/>
            <w:vAlign w:val="bottom"/>
          </w:tcPr>
          <w:p>
            <w:pPr>
              <w:spacing w:after="0"/>
              <w:rPr>
                <w:sz w:val="21"/>
                <w:szCs w:val="21"/>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620" w:right="2620" w:hanging="5612"/>
        <w:spacing w:after="0" w:line="528"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adoption of Topic 842, accrued lease exit obligations of $1.4 million were reclassed to operating lease liabilities.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14408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0" w:right="9900" w:hanging="212"/>
        <w:spacing w:after="0" w:line="453" w:lineRule="auto"/>
        <w:tabs>
          <w:tab w:leader="none" w:pos="184"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i w:val="1"/>
          <w:iCs w:val="1"/>
          <w:color w:val="auto"/>
        </w:rPr>
        <w:t>Effective Tax Rate</w:t>
      </w:r>
    </w:p>
    <w:p>
      <w:pPr>
        <w:spacing w:after="0" w:line="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effective income tax rate was (31.1)% and (7.7)% during the quarters ended December 31, 2019 and 2018,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effective tax rate for the quarters ended December 31, 2019 and 2018 was significantly impacted by the recording of excess tax benefits relating to stock awards that vested in December of each period. The impact is dependent upon the future stock price in relation to the fair value of awards on grant date. Therefore, the increase in stock price for stock awards that vested in December 2019 resulted in an increased excess tax benefit for the quarter ended December 31, 2019.</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total unrecognized tax benefit for uncertain tax positions is estimated to be $6.5 million and $5.8 million at December 31, 2019 and September 30, 2019, respectively. We recognize interest expense related to unrecognized tax benefits and penalties as part of the provision for income taxes in our condensed consolidated statements of income and comprehensive income. We have accrued interest of $0.4 million and $0.3 million related to unrecognized tax benefits as of December 31, 2019 and September 30,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w:t>
      </w:r>
    </w:p>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maintain the 2012 Long-Term Incentive Plan (the “2012 Plan”) under which we grant equity awards, including stock options, stock appreciation rights, restricted stock awards, stock unit awards and other stock-based awards. All employees, consultants and advisors of FICO or any subsidiary, as well as all non-employee directors are eligible to receive awards under the 2012 Plan. We also have awards currently outstanding under the 1992 Long-Term Incentive Plan, which was adopted in February 1992 and expired in February 2012. Stock option awards have a maximum term of seven years. In general, stock option awards and restricted stock unit awards not subject to market or performance conditions vest annually over four years. Restricted stock unit awards subject to market or performance conditions vest annually over three years based on the achievement of specified criteria.</w:t>
      </w:r>
    </w:p>
    <w:p>
      <w:pPr>
        <w:spacing w:after="0" w:line="7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also maintain the 2019 Employee Stock Purchase Plan, which authorizes the issuance of common stock to eligible employees. Employees have up to 15% of their eligible pay withheld through payroll deductions to purchase FICO common stock during semi-annual offering periods. The purchase price of the stock is 85% of the closing sales price on the last trading day of each offering period. Offering period means the approximately six-month long periods commencing (a) on the first trading day on or after September 1 and terminating on the last trading day in the following February, and (b) on the first trading day on or after March 1 and terminating on the last trading day in the following August.</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option activity during the quarter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14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5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1500" w:type="dxa"/>
            <w:vAlign w:val="bottom"/>
          </w:tcPr>
          <w:p>
            <w:pPr>
              <w:jc w:val="right"/>
              <w:ind w:right="21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years)</w:t>
            </w:r>
          </w:p>
        </w:tc>
        <w:tc>
          <w:tcPr>
            <w:tcW w:w="160" w:type="dxa"/>
            <w:vAlign w:val="bottom"/>
          </w:tcPr>
          <w:p>
            <w:pPr>
              <w:spacing w:after="0"/>
              <w:rPr>
                <w:sz w:val="22"/>
                <w:szCs w:val="22"/>
                <w:color w:val="auto"/>
              </w:rPr>
            </w:pPr>
          </w:p>
        </w:tc>
        <w:tc>
          <w:tcPr>
            <w:tcW w:w="144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September 30, 2019</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89.36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352.18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54.51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185.05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2019</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103.12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146,033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Exercisable at December 31, 2019</w:t>
            </w: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458</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81.93</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134,066</w:t>
            </w:r>
          </w:p>
        </w:tc>
        <w:tc>
          <w:tcPr>
            <w:tcW w:w="0" w:type="dxa"/>
            <w:vAlign w:val="bottom"/>
          </w:tcPr>
          <w:p>
            <w:pPr>
              <w:spacing w:after="0"/>
              <w:rPr>
                <w:sz w:val="1"/>
                <w:szCs w:val="1"/>
                <w:color w:val="auto"/>
              </w:rPr>
            </w:pPr>
          </w:p>
        </w:tc>
      </w:tr>
      <w:tr>
        <w:trPr>
          <w:trHeight w:val="251"/>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Vested and expected to vest at December 31, 2019</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101.77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145,490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800" w:type="dxa"/>
            <w:vAlign w:val="bottom"/>
          </w:tcPr>
          <w:p>
            <w:pPr>
              <w:spacing w:after="0"/>
              <w:rPr>
                <w:sz w:val="24"/>
                <w:szCs w:val="24"/>
                <w:color w:val="auto"/>
              </w:rPr>
            </w:pPr>
          </w:p>
        </w:tc>
        <w:tc>
          <w:tcPr>
            <w:tcW w:w="1500" w:type="dxa"/>
            <w:vAlign w:val="bottom"/>
          </w:tcPr>
          <w:p>
            <w:pPr>
              <w:jc w:val="right"/>
              <w:ind w:right="4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restricted stock unit activity during the quarter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64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Weighted-average Grant-date</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64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(In thousands)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September 30, 2019</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159.99</w:t>
            </w:r>
          </w:p>
        </w:tc>
        <w:tc>
          <w:tcPr>
            <w:tcW w:w="0" w:type="dxa"/>
            <w:vAlign w:val="bottom"/>
          </w:tcPr>
          <w:p>
            <w:pPr>
              <w:spacing w:after="0"/>
              <w:rPr>
                <w:sz w:val="1"/>
                <w:szCs w:val="1"/>
                <w:color w:val="auto"/>
              </w:rPr>
            </w:pPr>
          </w:p>
        </w:tc>
      </w:tr>
      <w:tr>
        <w:trPr>
          <w:trHeight w:val="243"/>
        </w:trPr>
        <w:tc>
          <w:tcPr>
            <w:tcW w:w="86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5"/>
              <w:spacing w:after="0"/>
              <w:rPr>
                <w:sz w:val="20"/>
                <w:szCs w:val="20"/>
                <w:color w:val="auto"/>
              </w:rPr>
            </w:pPr>
            <w:r>
              <w:rPr>
                <w:rFonts w:ascii="Arial" w:cs="Arial" w:eastAsia="Arial" w:hAnsi="Arial"/>
                <w:sz w:val="18"/>
                <w:szCs w:val="18"/>
                <w:color w:val="auto"/>
              </w:rPr>
              <w:t>353.37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138.52</w:t>
            </w:r>
          </w:p>
        </w:tc>
        <w:tc>
          <w:tcPr>
            <w:tcW w:w="0" w:type="dxa"/>
            <w:vAlign w:val="bottom"/>
          </w:tcPr>
          <w:p>
            <w:pPr>
              <w:spacing w:after="0"/>
              <w:rPr>
                <w:sz w:val="1"/>
                <w:szCs w:val="1"/>
                <w:color w:val="auto"/>
              </w:rPr>
            </w:pPr>
          </w:p>
        </w:tc>
      </w:tr>
      <w:tr>
        <w:trPr>
          <w:trHeight w:val="243"/>
        </w:trPr>
        <w:tc>
          <w:tcPr>
            <w:tcW w:w="862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5"/>
              <w:spacing w:after="0"/>
              <w:rPr>
                <w:sz w:val="20"/>
                <w:szCs w:val="20"/>
                <w:color w:val="auto"/>
              </w:rPr>
            </w:pPr>
            <w:r>
              <w:rPr>
                <w:rFonts w:ascii="Arial" w:cs="Arial" w:eastAsia="Arial" w:hAnsi="Arial"/>
                <w:sz w:val="18"/>
                <w:szCs w:val="18"/>
                <w:color w:val="auto"/>
              </w:rPr>
              <w:t>166.59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2019</w:t>
            </w:r>
          </w:p>
        </w:tc>
        <w:tc>
          <w:tcPr>
            <w:tcW w:w="16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214.39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62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Performance Share Units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gridSpan w:val="2"/>
          </w:tcPr>
          <w:p>
            <w:pPr>
              <w:ind w:left="420"/>
              <w:spacing w:after="0"/>
              <w:rPr>
                <w:sz w:val="20"/>
                <w:szCs w:val="20"/>
                <w:color w:val="auto"/>
              </w:rPr>
            </w:pPr>
            <w:r>
              <w:rPr>
                <w:rFonts w:ascii="Arial" w:cs="Arial" w:eastAsia="Arial" w:hAnsi="Arial"/>
                <w:sz w:val="18"/>
                <w:szCs w:val="18"/>
                <w:color w:val="auto"/>
                <w:w w:val="93"/>
              </w:rPr>
              <w:t>The following table summarizes performance share unit activity during the quarter ended December 31, 2019: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980" w:type="dxa"/>
            <w:vAlign w:val="bottom"/>
          </w:tcPr>
          <w:p>
            <w:pPr>
              <w:spacing w:after="0"/>
              <w:rPr>
                <w:sz w:val="24"/>
                <w:szCs w:val="24"/>
                <w:color w:val="auto"/>
              </w:rPr>
            </w:pPr>
          </w:p>
        </w:tc>
        <w:tc>
          <w:tcPr>
            <w:tcW w:w="164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Weighted-average Grant-date</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64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(In thousands)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September 30, 2019</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163.38</w:t>
            </w:r>
          </w:p>
        </w:tc>
        <w:tc>
          <w:tcPr>
            <w:tcW w:w="0" w:type="dxa"/>
            <w:vAlign w:val="bottom"/>
          </w:tcPr>
          <w:p>
            <w:pPr>
              <w:spacing w:after="0"/>
              <w:rPr>
                <w:sz w:val="1"/>
                <w:szCs w:val="1"/>
                <w:color w:val="auto"/>
              </w:rPr>
            </w:pPr>
          </w:p>
        </w:tc>
      </w:tr>
      <w:tr>
        <w:trPr>
          <w:trHeight w:val="243"/>
        </w:trPr>
        <w:tc>
          <w:tcPr>
            <w:tcW w:w="86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5"/>
              <w:spacing w:after="0"/>
              <w:rPr>
                <w:sz w:val="20"/>
                <w:szCs w:val="20"/>
                <w:color w:val="auto"/>
              </w:rPr>
            </w:pPr>
            <w:r>
              <w:rPr>
                <w:rFonts w:ascii="Arial" w:cs="Arial" w:eastAsia="Arial" w:hAnsi="Arial"/>
                <w:sz w:val="18"/>
                <w:szCs w:val="18"/>
                <w:color w:val="auto"/>
              </w:rPr>
              <w:t>354.18</w:t>
            </w:r>
          </w:p>
        </w:tc>
        <w:tc>
          <w:tcPr>
            <w:tcW w:w="0" w:type="dxa"/>
            <w:vAlign w:val="bottom"/>
          </w:tcPr>
          <w:p>
            <w:pPr>
              <w:spacing w:after="0"/>
              <w:rPr>
                <w:sz w:val="1"/>
                <w:szCs w:val="1"/>
                <w:color w:val="auto"/>
              </w:rPr>
            </w:pPr>
          </w:p>
        </w:tc>
      </w:tr>
      <w:tr>
        <w:trPr>
          <w:trHeight w:val="27"/>
        </w:trPr>
        <w:tc>
          <w:tcPr>
            <w:tcW w:w="86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152.45</w:t>
            </w:r>
          </w:p>
        </w:tc>
        <w:tc>
          <w:tcPr>
            <w:tcW w:w="0" w:type="dxa"/>
            <w:vAlign w:val="bottom"/>
          </w:tcPr>
          <w:p>
            <w:pPr>
              <w:spacing w:after="0"/>
              <w:rPr>
                <w:sz w:val="1"/>
                <w:szCs w:val="1"/>
                <w:color w:val="auto"/>
              </w:rPr>
            </w:pPr>
          </w:p>
        </w:tc>
      </w:tr>
      <w:tr>
        <w:trPr>
          <w:trHeight w:val="243"/>
        </w:trPr>
        <w:tc>
          <w:tcPr>
            <w:tcW w:w="862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5"/>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gridSpan w:val="2"/>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2019</w:t>
            </w:r>
          </w:p>
        </w:tc>
        <w:tc>
          <w:tcPr>
            <w:tcW w:w="16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248.97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8620" w:type="dxa"/>
            <w:vAlign w:val="bottom"/>
            <w:gridSpan w:val="2"/>
          </w:tcPr>
          <w:p>
            <w:pPr>
              <w:ind w:left="340"/>
              <w:spacing w:after="0"/>
              <w:rPr>
                <w:sz w:val="20"/>
                <w:szCs w:val="20"/>
                <w:color w:val="auto"/>
              </w:rPr>
            </w:pPr>
            <w:r>
              <w:rPr>
                <w:rFonts w:ascii="Arial" w:cs="Arial" w:eastAsia="Arial" w:hAnsi="Arial"/>
                <w:sz w:val="18"/>
                <w:szCs w:val="18"/>
                <w:b w:val="1"/>
                <w:bCs w:val="1"/>
                <w:color w:val="auto"/>
              </w:rPr>
              <w:t>Market Share Units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20" w:type="dxa"/>
            <w:vAlign w:val="bottom"/>
            <w:gridSpan w:val="2"/>
          </w:tcPr>
          <w:p>
            <w:pPr>
              <w:ind w:left="420"/>
              <w:spacing w:after="0"/>
              <w:rPr>
                <w:sz w:val="20"/>
                <w:szCs w:val="20"/>
                <w:color w:val="auto"/>
              </w:rPr>
            </w:pPr>
            <w:r>
              <w:rPr>
                <w:rFonts w:ascii="Arial" w:cs="Arial" w:eastAsia="Arial" w:hAnsi="Arial"/>
                <w:sz w:val="18"/>
                <w:szCs w:val="18"/>
                <w:color w:val="auto"/>
                <w:w w:val="98"/>
              </w:rPr>
              <w:t>The following table summarizes market share unit activity during the quarter ended December 31, 2019: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980" w:type="dxa"/>
            <w:vAlign w:val="bottom"/>
          </w:tcPr>
          <w:p>
            <w:pPr>
              <w:spacing w:after="0"/>
              <w:rPr>
                <w:sz w:val="24"/>
                <w:szCs w:val="24"/>
                <w:color w:val="auto"/>
              </w:rPr>
            </w:pPr>
          </w:p>
        </w:tc>
        <w:tc>
          <w:tcPr>
            <w:tcW w:w="164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Weighted-average Grant-date</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64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(In thousands)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September 30, 2019</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188.63</w:t>
            </w:r>
          </w:p>
        </w:tc>
        <w:tc>
          <w:tcPr>
            <w:tcW w:w="0" w:type="dxa"/>
            <w:vAlign w:val="bottom"/>
          </w:tcPr>
          <w:p>
            <w:pPr>
              <w:spacing w:after="0"/>
              <w:rPr>
                <w:sz w:val="1"/>
                <w:szCs w:val="1"/>
                <w:color w:val="auto"/>
              </w:rPr>
            </w:pPr>
          </w:p>
        </w:tc>
      </w:tr>
      <w:tr>
        <w:trPr>
          <w:trHeight w:val="243"/>
        </w:trPr>
        <w:tc>
          <w:tcPr>
            <w:tcW w:w="86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5"/>
              <w:spacing w:after="0"/>
              <w:rPr>
                <w:sz w:val="20"/>
                <w:szCs w:val="20"/>
                <w:color w:val="auto"/>
              </w:rPr>
            </w:pPr>
            <w:r>
              <w:rPr>
                <w:rFonts w:ascii="Arial" w:cs="Arial" w:eastAsia="Arial" w:hAnsi="Arial"/>
                <w:sz w:val="18"/>
                <w:szCs w:val="18"/>
                <w:color w:val="auto"/>
              </w:rPr>
              <w:t>249.13</w:t>
            </w:r>
          </w:p>
        </w:tc>
        <w:tc>
          <w:tcPr>
            <w:tcW w:w="0" w:type="dxa"/>
            <w:vAlign w:val="bottom"/>
          </w:tcPr>
          <w:p>
            <w:pPr>
              <w:spacing w:after="0"/>
              <w:rPr>
                <w:sz w:val="1"/>
                <w:szCs w:val="1"/>
                <w:color w:val="auto"/>
              </w:rPr>
            </w:pPr>
          </w:p>
        </w:tc>
      </w:tr>
      <w:tr>
        <w:trPr>
          <w:trHeight w:val="27"/>
        </w:trPr>
        <w:tc>
          <w:tcPr>
            <w:tcW w:w="86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171.42</w:t>
            </w:r>
          </w:p>
        </w:tc>
        <w:tc>
          <w:tcPr>
            <w:tcW w:w="0" w:type="dxa"/>
            <w:vAlign w:val="bottom"/>
          </w:tcPr>
          <w:p>
            <w:pPr>
              <w:spacing w:after="0"/>
              <w:rPr>
                <w:sz w:val="1"/>
                <w:szCs w:val="1"/>
                <w:color w:val="auto"/>
              </w:rPr>
            </w:pPr>
          </w:p>
        </w:tc>
      </w:tr>
      <w:tr>
        <w:trPr>
          <w:trHeight w:val="243"/>
        </w:trPr>
        <w:tc>
          <w:tcPr>
            <w:tcW w:w="862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5"/>
              <w:spacing w:after="0"/>
              <w:rPr>
                <w:sz w:val="20"/>
                <w:szCs w:val="20"/>
                <w:color w:val="auto"/>
              </w:rPr>
            </w:pPr>
            <w:r>
              <w:rPr>
                <w:rFonts w:ascii="Arial" w:cs="Arial" w:eastAsia="Arial" w:hAnsi="Arial"/>
                <w:sz w:val="18"/>
                <w:szCs w:val="18"/>
                <w:color w:val="auto"/>
              </w:rPr>
              <w:t>202.48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gridSpan w:val="2"/>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2019</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311.91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our first semi-annual offering period started on September 1, 2019, no shares have been purchased during the quarter ended December 31, 2019.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reconciliations for the numerators and denominators of basic and diluted earnings per share (“EPS”) for the quarters ended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338"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Quarter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Numerator for diluted and basic earnings per share: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54,921</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40,007</w:t>
            </w:r>
          </w:p>
        </w:tc>
      </w:tr>
      <w:tr>
        <w:trPr>
          <w:trHeight w:val="67"/>
        </w:trPr>
        <w:tc>
          <w:tcPr>
            <w:tcW w:w="834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 - share:</w:t>
            </w: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Basic weighted-average shares</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29,025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28,961</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dilutive securities</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Diluted weighted-average shares</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30,169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30,336</w:t>
            </w:r>
          </w:p>
        </w:tc>
      </w:tr>
      <w:tr>
        <w:trPr>
          <w:trHeight w:val="67"/>
        </w:trPr>
        <w:tc>
          <w:tcPr>
            <w:tcW w:w="834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Basic</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67"/>
        </w:trPr>
        <w:tc>
          <w:tcPr>
            <w:tcW w:w="834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exclude the options to purchase shares of common stock in the computation of the diluted EPS where the exercise price of the options exceeds the average market price of our common stock as their inclusion would be antidilutive. There were approximately 15,000 options excluded for the quarter ended December 31, 2019. There were no options excluded for the quarter ended December 31, 2018.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are organized into the following three operating segments, each of which is a reportable segment, to align with internal management of our worldwide business operations based on product offerings.</w:t>
      </w:r>
    </w:p>
    <w:p>
      <w:pPr>
        <w:spacing w:after="0" w:line="184" w:lineRule="exact"/>
        <w:rPr>
          <w:sz w:val="20"/>
          <w:szCs w:val="20"/>
          <w:color w:val="auto"/>
        </w:rPr>
      </w:pPr>
    </w:p>
    <w:p>
      <w:pPr>
        <w:jc w:val="both"/>
        <w:ind w:left="1300" w:hanging="563"/>
        <w:spacing w:after="0" w:line="235"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Applications</w:t>
      </w:r>
      <w:r>
        <w:rPr>
          <w:rFonts w:ascii="Arial" w:cs="Arial" w:eastAsia="Arial" w:hAnsi="Arial"/>
          <w:sz w:val="18"/>
          <w:szCs w:val="18"/>
          <w:color w:val="auto"/>
        </w:rPr>
        <w:t>. This segment includes pre-configured decision management applications designed for a specific type of business problem or</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 such as marketing, account origination, customer management, fraud, collections and insurance claims management — as well as associated professional services. These applications are available to our customers as on-premises software, and many are available as hosted, software-as-a-service (“SaaS”) applications through 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Analytic Cloud or third-party public clouds, such as those provided by Amazon Web Services (“AWS”).</w:t>
      </w:r>
    </w:p>
    <w:p>
      <w:pPr>
        <w:spacing w:after="0" w:line="96" w:lineRule="exact"/>
        <w:rPr>
          <w:rFonts w:ascii="Arial" w:cs="Arial" w:eastAsia="Arial" w:hAnsi="Arial"/>
          <w:sz w:val="18"/>
          <w:szCs w:val="18"/>
          <w:color w:val="auto"/>
        </w:rPr>
      </w:pPr>
    </w:p>
    <w:p>
      <w:pPr>
        <w:jc w:val="both"/>
        <w:ind w:left="1300" w:hanging="563"/>
        <w:spacing w:after="0" w:line="232" w:lineRule="auto"/>
        <w:tabs>
          <w:tab w:leader="none" w:pos="13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Scores. </w:t>
      </w:r>
      <w:r>
        <w:rPr>
          <w:rFonts w:ascii="Arial" w:cs="Arial" w:eastAsia="Arial" w:hAnsi="Arial"/>
          <w:sz w:val="18"/>
          <w:szCs w:val="18"/>
          <w:color w:val="auto"/>
        </w:rPr>
        <w:t>This segment includes our business-to-business scoring solutions, our myFICO</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consumers and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Our scoring solutions give our clients access to analytics that can be easily integrated into their transaction streams and decision-making processes. Our scoring solutions are distributed through major credit reporting agencies, as well as services through which we provide our scores to clients directly.</w:t>
      </w:r>
    </w:p>
    <w:p>
      <w:pPr>
        <w:spacing w:after="0" w:line="94" w:lineRule="exact"/>
        <w:rPr>
          <w:rFonts w:ascii="Arial" w:cs="Arial" w:eastAsia="Arial" w:hAnsi="Arial"/>
          <w:sz w:val="18"/>
          <w:szCs w:val="18"/>
          <w:i w:val="1"/>
          <w:iCs w:val="1"/>
          <w:color w:val="auto"/>
        </w:rPr>
      </w:pPr>
    </w:p>
    <w:p>
      <w:pPr>
        <w:jc w:val="both"/>
        <w:ind w:left="1300" w:hanging="563"/>
        <w:spacing w:after="0" w:line="213" w:lineRule="auto"/>
        <w:tabs>
          <w:tab w:leader="none" w:pos="13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Decision Management Software. </w:t>
      </w:r>
      <w:r>
        <w:rPr>
          <w:rFonts w:ascii="Arial" w:cs="Arial" w:eastAsia="Arial" w:hAnsi="Arial"/>
          <w:sz w:val="18"/>
          <w:szCs w:val="18"/>
          <w:color w:val="auto"/>
        </w:rPr>
        <w:t>This segment is composed of analytic and decision management software tools that clients can use to</w:t>
      </w:r>
      <w:r>
        <w:rPr>
          <w:rFonts w:ascii="Arial" w:cs="Arial" w:eastAsia="Arial" w:hAnsi="Arial"/>
          <w:sz w:val="18"/>
          <w:szCs w:val="18"/>
          <w:i w:val="1"/>
          <w:iCs w:val="1"/>
          <w:color w:val="auto"/>
        </w:rPr>
        <w:t xml:space="preserve"> </w:t>
      </w:r>
      <w:r>
        <w:rPr>
          <w:rFonts w:ascii="Arial" w:cs="Arial" w:eastAsia="Arial" w:hAnsi="Arial"/>
          <w:sz w:val="18"/>
          <w:szCs w:val="18"/>
          <w:color w:val="auto"/>
        </w:rPr>
        <w:t>create their own custom decision management applications, our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Decision Management Suite, as well as associated professional services. These tools are available to our customers as on-premises software or through 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Analytic Cloud or third-party public clouds, such as those provided by AWS.</w:t>
      </w:r>
    </w:p>
    <w:p>
      <w:pPr>
        <w:spacing w:after="0" w:line="20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Chief Executive Officer evaluates segment financial performance based on segment revenues and segment operating income. Segment operating expenses consist of direct and indirect costs principally related to personnel, facilities,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expense, amortization expense, various corporate charges and certain other income and expense measures to our segments. These income and expense items are not allocated because they are not considered in evaluating the segment’s operating performance. Our Chief Executive Officer does not evaluate the financial performance of each segment based on its respective assets, nor capital expenditures where depreciation amounts are allocated to the segments from their internal cost centers as described above.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segment information for the quarters ended December 31, 2019 and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10"/>
          </w:tcPr>
          <w:p>
            <w:pPr>
              <w:jc w:val="center"/>
              <w:ind w:left="774"/>
              <w:spacing w:after="0"/>
              <w:rPr>
                <w:sz w:val="20"/>
                <w:szCs w:val="20"/>
                <w:color w:val="auto"/>
              </w:rPr>
            </w:pPr>
            <w:r>
              <w:rPr>
                <w:rFonts w:ascii="Arial" w:cs="Arial" w:eastAsia="Arial" w:hAnsi="Arial"/>
                <w:sz w:val="14"/>
                <w:szCs w:val="14"/>
                <w:b w:val="1"/>
                <w:bCs w:val="1"/>
                <w:color w:val="auto"/>
                <w:w w:val="94"/>
              </w:rPr>
              <w:t>Quarter Ended December 31, 2019</w:t>
            </w:r>
          </w:p>
        </w:tc>
        <w:tc>
          <w:tcPr>
            <w:tcW w:w="1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Decision Management</w:t>
            </w:r>
          </w:p>
        </w:tc>
        <w:tc>
          <w:tcPr>
            <w:tcW w:w="2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Unallocated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Applications</w:t>
            </w:r>
          </w:p>
        </w:tc>
        <w:tc>
          <w:tcPr>
            <w:tcW w:w="32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Scores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4"/>
              </w:rPr>
              <w:t>Software</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Expenses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Transactional and maintenance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98,837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107,446</w:t>
            </w:r>
          </w:p>
        </w:tc>
        <w:tc>
          <w:tcPr>
            <w:tcW w:w="4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14,091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220,374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34,023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44,025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License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19,318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7,359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Total 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152,178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115,138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31,188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298,504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Segment operating expense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(116,010)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(17,712)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(50,645)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(218,577)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Segment operating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97,426</w:t>
            </w:r>
          </w:p>
        </w:tc>
        <w:tc>
          <w:tcPr>
            <w:tcW w:w="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w w:val="89"/>
              </w:rPr>
              <w:t>Unallocated share-based compensation expense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(23,145)</w:t>
            </w: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5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Unallocated restructuring and acquisition-</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related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51,882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Unallocated interest expense, net</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Unallocated 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41,895</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5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0"/>
          </w:tcPr>
          <w:p>
            <w:pPr>
              <w:jc w:val="center"/>
              <w:ind w:left="734"/>
              <w:spacing w:after="0"/>
              <w:rPr>
                <w:sz w:val="20"/>
                <w:szCs w:val="20"/>
                <w:color w:val="auto"/>
              </w:rPr>
            </w:pPr>
            <w:r>
              <w:rPr>
                <w:rFonts w:ascii="Arial" w:cs="Arial" w:eastAsia="Arial" w:hAnsi="Arial"/>
                <w:sz w:val="14"/>
                <w:szCs w:val="14"/>
                <w:b w:val="1"/>
                <w:bCs w:val="1"/>
                <w:color w:val="auto"/>
                <w:w w:val="94"/>
              </w:rPr>
              <w:t>Quarter Ended December 31, 2018</w:t>
            </w: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3"/>
              </w:rPr>
              <w:t>Decision Management</w:t>
            </w:r>
          </w:p>
        </w:tc>
        <w:tc>
          <w:tcPr>
            <w:tcW w:w="280" w:type="dxa"/>
            <w:vAlign w:val="bottom"/>
          </w:tcPr>
          <w:p>
            <w:pPr>
              <w:spacing w:after="0"/>
              <w:rPr>
                <w:sz w:val="13"/>
                <w:szCs w:val="13"/>
                <w:color w:val="auto"/>
              </w:rPr>
            </w:pPr>
          </w:p>
        </w:tc>
        <w:tc>
          <w:tcPr>
            <w:tcW w:w="12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Unallocated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Applications</w:t>
            </w:r>
          </w:p>
        </w:tc>
        <w:tc>
          <w:tcPr>
            <w:tcW w:w="3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Corporate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Software</w:t>
            </w:r>
          </w:p>
        </w:tc>
        <w:tc>
          <w:tcPr>
            <w:tcW w:w="28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Expenses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rPr>
              <w:t>Transactional and maintenance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97,165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84,821</w:t>
            </w:r>
          </w:p>
        </w:tc>
        <w:tc>
          <w:tcPr>
            <w:tcW w:w="40" w:type="dxa"/>
            <w:vAlign w:val="bottom"/>
          </w:tcPr>
          <w:p>
            <w:pPr>
              <w:spacing w:after="0"/>
              <w:rPr>
                <w:sz w:val="21"/>
                <w:szCs w:val="21"/>
                <w:color w:val="auto"/>
              </w:rPr>
            </w:pPr>
          </w:p>
        </w:tc>
        <w:tc>
          <w:tcPr>
            <w:tcW w:w="28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12,207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194,193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31,462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rPr>
              <w:t>License</w:t>
            </w: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19,032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8,062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27,255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segment revenues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147,659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85,683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28,914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262,256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Segment operating expense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(107,598)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(13,482)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(39,562)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(29,254)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(189,896)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Segment operating income (loss)</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40,061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72,201</w:t>
            </w:r>
          </w:p>
        </w:tc>
        <w:tc>
          <w:tcPr>
            <w:tcW w:w="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72,360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w w:val="89"/>
              </w:rPr>
              <w:t>Unallocated share-based compensation expense</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(21,854)</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Unallocated amortization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Unallocated 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Unallocated other expense, net</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37,156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Depreciation expense</w:t>
            </w: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3"/>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gridSpan w:val="3"/>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4,797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9"/>
                <w:szCs w:val="19"/>
                <w:color w:val="auto"/>
              </w:rPr>
            </w:pPr>
          </w:p>
        </w:tc>
        <w:tc>
          <w:tcPr>
            <w:tcW w:w="28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989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233</w:t>
            </w:r>
          </w:p>
        </w:tc>
        <w:tc>
          <w:tcPr>
            <w:tcW w:w="40" w:type="dxa"/>
            <w:vAlign w:val="bottom"/>
          </w:tcPr>
          <w:p>
            <w:pPr>
              <w:spacing w:after="0"/>
              <w:rPr>
                <w:sz w:val="19"/>
                <w:szCs w:val="19"/>
                <w:color w:val="auto"/>
              </w:rPr>
            </w:pPr>
          </w:p>
        </w:tc>
        <w:tc>
          <w:tcPr>
            <w:tcW w:w="4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about disaggregated revenue by product deployment methods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center"/>
              <w:ind w:left="856"/>
              <w:spacing w:after="0"/>
              <w:rPr>
                <w:sz w:val="20"/>
                <w:szCs w:val="20"/>
                <w:color w:val="auto"/>
              </w:rPr>
            </w:pPr>
            <w:r>
              <w:rPr>
                <w:rFonts w:ascii="Arial" w:cs="Arial" w:eastAsia="Arial" w:hAnsi="Arial"/>
                <w:sz w:val="14"/>
                <w:szCs w:val="14"/>
                <w:b w:val="1"/>
                <w:bCs w:val="1"/>
                <w:color w:val="auto"/>
                <w:w w:val="94"/>
              </w:rPr>
              <w:t>Quarter Ended December 31, 2019</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2860" w:type="dxa"/>
            <w:vAlign w:val="bottom"/>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On-Premises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SaaS</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Scores</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Percentage</w:t>
            </w:r>
          </w:p>
        </w:tc>
      </w:tr>
      <w:tr>
        <w:trPr>
          <w:trHeight w:val="244"/>
        </w:trPr>
        <w:tc>
          <w:tcPr>
            <w:tcW w:w="2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5"/>
        </w:trPr>
        <w:tc>
          <w:tcPr>
            <w:tcW w:w="2860" w:type="dxa"/>
            <w:vAlign w:val="bottom"/>
          </w:tcPr>
          <w:p>
            <w:pPr>
              <w:ind w:left="40"/>
              <w:spacing w:after="0"/>
              <w:rPr>
                <w:sz w:val="20"/>
                <w:szCs w:val="20"/>
                <w:color w:val="auto"/>
              </w:rPr>
            </w:pPr>
            <w:r>
              <w:rPr>
                <w:rFonts w:ascii="Arial" w:cs="Arial" w:eastAsia="Arial" w:hAnsi="Arial"/>
                <w:sz w:val="18"/>
                <w:szCs w:val="18"/>
                <w:color w:val="auto"/>
              </w:rPr>
              <w:t>Applications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85,978</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66,200</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152,178</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2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Scores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115,138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Decision Management Software</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23,679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7,509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31,188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2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2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109,657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73,709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115,138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298,504</w:t>
            </w: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48"/>
        </w:trPr>
        <w:tc>
          <w:tcPr>
            <w:tcW w:w="2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jc w:val="center"/>
              <w:ind w:left="856"/>
              <w:spacing w:after="0"/>
              <w:rPr>
                <w:sz w:val="20"/>
                <w:szCs w:val="20"/>
                <w:color w:val="auto"/>
              </w:rPr>
            </w:pPr>
            <w:r>
              <w:rPr>
                <w:rFonts w:ascii="Arial" w:cs="Arial" w:eastAsia="Arial" w:hAnsi="Arial"/>
                <w:sz w:val="14"/>
                <w:szCs w:val="14"/>
                <w:b w:val="1"/>
                <w:bCs w:val="1"/>
                <w:color w:val="auto"/>
                <w:w w:val="94"/>
              </w:rPr>
              <w:t>Quarter Ended December 31, 2018</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64"/>
        </w:trPr>
        <w:tc>
          <w:tcPr>
            <w:tcW w:w="2860" w:type="dxa"/>
            <w:vAlign w:val="bottom"/>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On-Premises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SaaS</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Scores</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Percentage</w:t>
            </w:r>
          </w:p>
        </w:tc>
      </w:tr>
      <w:tr>
        <w:trPr>
          <w:trHeight w:val="244"/>
        </w:trPr>
        <w:tc>
          <w:tcPr>
            <w:tcW w:w="2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5"/>
        </w:trPr>
        <w:tc>
          <w:tcPr>
            <w:tcW w:w="2860" w:type="dxa"/>
            <w:vAlign w:val="bottom"/>
          </w:tcPr>
          <w:p>
            <w:pPr>
              <w:ind w:left="40"/>
              <w:spacing w:after="0"/>
              <w:rPr>
                <w:sz w:val="20"/>
                <w:szCs w:val="20"/>
                <w:color w:val="auto"/>
              </w:rPr>
            </w:pPr>
            <w:r>
              <w:rPr>
                <w:rFonts w:ascii="Arial" w:cs="Arial" w:eastAsia="Arial" w:hAnsi="Arial"/>
                <w:sz w:val="18"/>
                <w:szCs w:val="18"/>
                <w:color w:val="auto"/>
              </w:rPr>
              <w:t>Applications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89,595</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58,064</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147,659</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2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Scores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85,683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85,683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Decision Management Software</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23,609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5,305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28,914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2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2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113,204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63,369</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85,683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262,256</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about disaggregated revenue by primary geographical markets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jc w:val="center"/>
              <w:ind w:left="956"/>
              <w:spacing w:after="0"/>
              <w:rPr>
                <w:sz w:val="20"/>
                <w:szCs w:val="20"/>
                <w:color w:val="auto"/>
              </w:rPr>
            </w:pPr>
            <w:r>
              <w:rPr>
                <w:rFonts w:ascii="Arial" w:cs="Arial" w:eastAsia="Arial" w:hAnsi="Arial"/>
                <w:sz w:val="14"/>
                <w:szCs w:val="14"/>
                <w:b w:val="1"/>
                <w:bCs w:val="1"/>
                <w:color w:val="auto"/>
                <w:w w:val="94"/>
              </w:rPr>
              <w:t>Quarter Ended December 31, 2019</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240" w:type="dxa"/>
            <w:vAlign w:val="bottom"/>
          </w:tcPr>
          <w:p>
            <w:pPr>
              <w:spacing w:after="0"/>
              <w:rPr>
                <w:sz w:val="13"/>
                <w:szCs w:val="13"/>
                <w:color w:val="auto"/>
              </w:rPr>
            </w:pP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North America</w:t>
            </w:r>
          </w:p>
        </w:tc>
        <w:tc>
          <w:tcPr>
            <w:tcW w:w="24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5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Europe, Middle East</w:t>
            </w:r>
          </w:p>
        </w:tc>
        <w:tc>
          <w:tcPr>
            <w:tcW w:w="300" w:type="dxa"/>
            <w:vAlign w:val="bottom"/>
          </w:tcPr>
          <w:p>
            <w:pPr>
              <w:spacing w:after="0"/>
              <w:rPr>
                <w:sz w:val="13"/>
                <w:szCs w:val="13"/>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Asia Pacific</w:t>
            </w:r>
          </w:p>
        </w:tc>
        <w:tc>
          <w:tcPr>
            <w:tcW w:w="380" w:type="dxa"/>
            <w:vAlign w:val="bottom"/>
          </w:tcPr>
          <w:p>
            <w:pPr>
              <w:spacing w:after="0"/>
              <w:rPr>
                <w:sz w:val="13"/>
                <w:szCs w:val="13"/>
                <w:color w:val="auto"/>
              </w:rPr>
            </w:pPr>
          </w:p>
        </w:tc>
        <w:tc>
          <w:tcPr>
            <w:tcW w:w="12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and Africa</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85,466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39,784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152,178</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Scores</w:t>
            </w:r>
          </w:p>
        </w:tc>
        <w:tc>
          <w:tcPr>
            <w:tcW w:w="24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110,197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115,138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Decision Management Software</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7,265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31,188</w:t>
            </w:r>
          </w:p>
        </w:tc>
        <w:tc>
          <w:tcPr>
            <w:tcW w:w="0" w:type="dxa"/>
            <w:vAlign w:val="bottom"/>
          </w:tcPr>
          <w:p>
            <w:pPr>
              <w:spacing w:after="0"/>
              <w:rPr>
                <w:sz w:val="1"/>
                <w:szCs w:val="1"/>
                <w:color w:val="auto"/>
              </w:rPr>
            </w:pPr>
          </w:p>
        </w:tc>
      </w:tr>
      <w:tr>
        <w:trPr>
          <w:trHeight w:val="257"/>
        </w:trPr>
        <w:tc>
          <w:tcPr>
            <w:tcW w:w="2980" w:type="dxa"/>
            <w:vAlign w:val="bottom"/>
          </w:tcPr>
          <w:p>
            <w:pPr>
              <w:ind w:left="3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211,250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14,134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48,587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24,533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298,504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center"/>
              <w:ind w:left="956"/>
              <w:spacing w:after="0"/>
              <w:rPr>
                <w:sz w:val="20"/>
                <w:szCs w:val="20"/>
                <w:color w:val="auto"/>
              </w:rPr>
            </w:pPr>
            <w:r>
              <w:rPr>
                <w:rFonts w:ascii="Arial" w:cs="Arial" w:eastAsia="Arial" w:hAnsi="Arial"/>
                <w:sz w:val="14"/>
                <w:szCs w:val="14"/>
                <w:b w:val="1"/>
                <w:bCs w:val="1"/>
                <w:color w:val="auto"/>
                <w:w w:val="94"/>
              </w:rPr>
              <w:t>Quarter Ended December 31, 2018</w:t>
            </w: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240" w:type="dxa"/>
            <w:vAlign w:val="bottom"/>
          </w:tcPr>
          <w:p>
            <w:pPr>
              <w:spacing w:after="0"/>
              <w:rPr>
                <w:sz w:val="13"/>
                <w:szCs w:val="13"/>
                <w:color w:val="auto"/>
              </w:rPr>
            </w:pP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North America</w:t>
            </w:r>
          </w:p>
        </w:tc>
        <w:tc>
          <w:tcPr>
            <w:tcW w:w="24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5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Europe, Middle East</w:t>
            </w:r>
          </w:p>
        </w:tc>
        <w:tc>
          <w:tcPr>
            <w:tcW w:w="300" w:type="dxa"/>
            <w:vAlign w:val="bottom"/>
          </w:tcPr>
          <w:p>
            <w:pPr>
              <w:spacing w:after="0"/>
              <w:rPr>
                <w:sz w:val="13"/>
                <w:szCs w:val="13"/>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Asia Pacific</w:t>
            </w:r>
          </w:p>
        </w:tc>
        <w:tc>
          <w:tcPr>
            <w:tcW w:w="380" w:type="dxa"/>
            <w:vAlign w:val="bottom"/>
          </w:tcPr>
          <w:p>
            <w:pPr>
              <w:spacing w:after="0"/>
              <w:rPr>
                <w:sz w:val="13"/>
                <w:szCs w:val="13"/>
                <w:color w:val="auto"/>
              </w:rPr>
            </w:pPr>
          </w:p>
        </w:tc>
        <w:tc>
          <w:tcPr>
            <w:tcW w:w="12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and Africa</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80,949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18,253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32,562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147,659</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Scores</w:t>
            </w:r>
          </w:p>
        </w:tc>
        <w:tc>
          <w:tcPr>
            <w:tcW w:w="24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82,073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85,683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Decision Management Software</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6,124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28,914</w:t>
            </w:r>
          </w:p>
        </w:tc>
        <w:tc>
          <w:tcPr>
            <w:tcW w:w="0" w:type="dxa"/>
            <w:vAlign w:val="bottom"/>
          </w:tcPr>
          <w:p>
            <w:pPr>
              <w:spacing w:after="0"/>
              <w:rPr>
                <w:sz w:val="1"/>
                <w:szCs w:val="1"/>
                <w:color w:val="auto"/>
              </w:rPr>
            </w:pPr>
          </w:p>
        </w:tc>
      </w:tr>
      <w:tr>
        <w:trPr>
          <w:trHeight w:val="257"/>
        </w:trPr>
        <w:tc>
          <w:tcPr>
            <w:tcW w:w="2980" w:type="dxa"/>
            <w:vAlign w:val="bottom"/>
          </w:tcPr>
          <w:p>
            <w:pPr>
              <w:ind w:left="3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176,846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23,992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40,220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21,198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262,256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 xml:space="preserve"> Contract Balances and Performance Obligations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8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at December 31, 2019 and September 30, 2019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480" w:type="dxa"/>
            <w:vAlign w:val="bottom"/>
          </w:tcPr>
          <w:p>
            <w:pPr>
              <w:jc w:val="right"/>
              <w:ind w:right="454"/>
              <w:spacing w:after="0"/>
              <w:rPr>
                <w:sz w:val="20"/>
                <w:szCs w:val="20"/>
                <w:color w:val="auto"/>
              </w:rPr>
            </w:pPr>
            <w:r>
              <w:rPr>
                <w:rFonts w:ascii="Arial" w:cs="Arial" w:eastAsia="Arial" w:hAnsi="Arial"/>
                <w:sz w:val="14"/>
                <w:szCs w:val="14"/>
                <w:b w:val="1"/>
                <w:bCs w:val="1"/>
                <w:color w:val="auto"/>
                <w:w w:val="96"/>
              </w:rPr>
              <w:t>September 30,</w:t>
            </w:r>
          </w:p>
        </w:tc>
      </w:tr>
      <w:tr>
        <w:trPr>
          <w:trHeight w:val="192"/>
        </w:trPr>
        <w:tc>
          <w:tcPr>
            <w:tcW w:w="7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2019</w:t>
            </w:r>
          </w:p>
        </w:tc>
      </w:tr>
      <w:tr>
        <w:trPr>
          <w:trHeight w:val="196"/>
        </w:trPr>
        <w:tc>
          <w:tcPr>
            <w:tcW w:w="7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186,330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206,714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Unbilled</w:t>
            </w:r>
          </w:p>
        </w:tc>
        <w:tc>
          <w:tcPr>
            <w:tcW w:w="32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134,334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127,651</w:t>
            </w:r>
          </w:p>
        </w:tc>
      </w:tr>
      <w:tr>
        <w:trPr>
          <w:trHeight w:val="27"/>
        </w:trPr>
        <w:tc>
          <w:tcPr>
            <w:tcW w:w="7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320,664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334,365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(2,568)</w:t>
            </w:r>
          </w:p>
        </w:tc>
      </w:tr>
      <w:tr>
        <w:trPr>
          <w:trHeight w:val="27"/>
        </w:trPr>
        <w:tc>
          <w:tcPr>
            <w:tcW w:w="7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receivables</w:t>
            </w:r>
          </w:p>
        </w:tc>
        <w:tc>
          <w:tcPr>
            <w:tcW w:w="3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317,621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331,797</w:t>
            </w:r>
          </w:p>
        </w:tc>
      </w:tr>
      <w:tr>
        <w:trPr>
          <w:trHeight w:val="237"/>
        </w:trPr>
        <w:tc>
          <w:tcPr>
            <w:tcW w:w="7440" w:type="dxa"/>
            <w:vAlign w:val="bottom"/>
          </w:tcPr>
          <w:p>
            <w:pPr>
              <w:ind w:left="220"/>
              <w:spacing w:after="0"/>
              <w:rPr>
                <w:sz w:val="20"/>
                <w:szCs w:val="20"/>
                <w:color w:val="auto"/>
              </w:rPr>
            </w:pPr>
            <w:r>
              <w:rPr>
                <w:rFonts w:ascii="Arial" w:cs="Arial" w:eastAsia="Arial" w:hAnsi="Arial"/>
                <w:sz w:val="18"/>
                <w:szCs w:val="18"/>
                <w:color w:val="auto"/>
              </w:rPr>
              <w:t>Less: long-term receivables *</w:t>
            </w: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(35,981)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(34,370)</w:t>
            </w:r>
          </w:p>
        </w:tc>
      </w:tr>
      <w:tr>
        <w:trPr>
          <w:trHeight w:val="27"/>
        </w:trPr>
        <w:tc>
          <w:tcPr>
            <w:tcW w:w="7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receivables *</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281,640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297,427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0" w:firstLine="2"/>
        <w:spacing w:after="0" w:line="277" w:lineRule="auto"/>
        <w:tabs>
          <w:tab w:leader="none" w:pos="3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Short-term receivables and long-term receivables were recorded in accounts receivable, net and other assets, respectively, within the accompanying condensed consolidated balance sheets.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Contract assets balance at December 31, 2019 and September 30, 2019 was immaterial.</w:t>
      </w:r>
    </w:p>
    <w:p>
      <w:pPr>
        <w:spacing w:after="0" w:line="17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Deferred revenue primarily relates to our maintenance and SaaS contracts billed annually in advance and generally recognized ratably over the term of the service period. Significant changes in the deferred revenues balances during the quarters ended December 31, 2019 and 2018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Quarter Ended December 31,</w:t>
            </w:r>
          </w:p>
        </w:tc>
        <w:tc>
          <w:tcPr>
            <w:tcW w:w="70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6"/>
              </w:rPr>
              <w:t>116,320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108,118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w w:val="96"/>
              </w:rPr>
              <w:t>Revenue recognized that was included in the deferred revenues balance at the beginning of the period</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(47,934)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(53,339)</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billings, excluding amounts recognized as revenue during the period</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51,291</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53,388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86"/>
              </w:rPr>
              <w:t>119,677</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108,167</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firstLine="8"/>
        <w:spacing w:after="0" w:line="259" w:lineRule="auto"/>
        <w:tabs>
          <w:tab w:leader="none" w:pos="2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Ending balance at December 31, 2019 included current portion of $114.7 million and long-term portion of $5.0 million that were recorded in deferred revenue and other liabilities, respectively, within the condensed consolidated balance sheets. Ending balance at December 31, 2018 included current portion of $103.6 million and long-term portion of $4.6 million that were recorded in deferred revenue and other liabilities, respectively, within the condensed consolidated balance sheets.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13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that will be recognized in future periods from usage-based royalty from license sales;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SaaS transactional revenue from variable considerations that will be recognized in the distinct service period during which it is earned; and</w:t>
      </w:r>
    </w:p>
    <w:p>
      <w:pPr>
        <w:spacing w:after="0" w:line="20" w:lineRule="exact"/>
        <w:rPr>
          <w:rFonts w:ascii="Arial" w:cs="Arial" w:eastAsia="Arial" w:hAnsi="Arial"/>
          <w:sz w:val="17"/>
          <w:szCs w:val="17"/>
          <w:color w:val="auto"/>
        </w:rPr>
      </w:pPr>
    </w:p>
    <w:p>
      <w:pPr>
        <w:ind w:left="6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from variable considerations that will be recognized in accordance with the “right-to-invoice” practical expedient, such as fees from our professional services billed based on a time and materials basis.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Revenue allocated to remaining performance obligations was $307.5 million as of December 31, 2019, of which we expect to recognize approximately 51% over the next 18 months and the remainder thereafter.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12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lease office space and data centers under operating lease arrangements, which constitute the majority of our lease obligations. We also enter into finance lease agreements from time to time for certain computer equipment. For any lease with a lease term in excess of 12 months, the related lease assets and liabilities are recognized on our condensed consolidated balance sheets as either operating or finance leases at the commencement of an agreement where it is determined that a lease exists. We have lease agreements that contain both lease and non-lease components, and we have elected to combine these components together and account for them as a single lease component for all classes of assets. Leases with a lease term of 12 months or less are not recorded on our condensed consolidated balance sheets. Furthermore, we recognize lease expense for these leases on a straight-line basis over the lease term.</w:t>
      </w:r>
    </w:p>
    <w:p>
      <w:pPr>
        <w:spacing w:after="0" w:line="12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Operating lease assets represent the right to use an underlying asset for the lease term and operating lease liabilities represent the obligation to make lease payments arising from the lease. These assets and liabilities are recognized based on the present value of future payments over the lease term at the commencement date. We use a collateralized incremental borrowing rate based on the information available at the commencement date, including the lease term, in determining the present value of future payments. In calculating the incremental borrowing rates, we consider recent ratings from credit agencies and current lease demographic information. Our operating leases also typically require payment of real estate taxes, common area maintenance, insurance and other operating costs as well as payments that are adjusted based on a consumer price index. These components comprise the majority of our variable lease cost and are excluded from the present value of our lease obligations. In instances where they are fixed, they are included due to our election to combine lease and non-lease components. Operating lease assets also include prepaid lease payments and initial direct costs, and are reduced by lease incentives. Our lease terms generally do not include options to extend or terminate the lease unless it is reasonably certain that the option will be exercised. Fixed payments may contain predetermined fixed rent escalations. We recognize the related rent expense on a straight-line basis from the commencement date to the end of the lease term.</w:t>
      </w:r>
    </w:p>
    <w:p>
      <w:pPr>
        <w:spacing w:after="0" w:line="3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lease balances within the condensed consolidated balance sheets: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3300" w:type="dxa"/>
            <w:vAlign w:val="bottom"/>
            <w:gridSpan w:val="2"/>
          </w:tcPr>
          <w:p>
            <w:pPr>
              <w:ind w:left="88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6"/>
                <w:szCs w:val="16"/>
                <w:color w:val="auto"/>
              </w:rPr>
            </w:pPr>
          </w:p>
        </w:tc>
        <w:tc>
          <w:tcPr>
            <w:tcW w:w="1680" w:type="dxa"/>
            <w:vAlign w:val="bottom"/>
          </w:tcPr>
          <w:p>
            <w:pPr>
              <w:jc w:val="right"/>
              <w:ind w:right="294"/>
              <w:spacing w:after="0"/>
              <w:rPr>
                <w:sz w:val="20"/>
                <w:szCs w:val="20"/>
                <w:color w:val="auto"/>
              </w:rPr>
            </w:pPr>
            <w:r>
              <w:rPr>
                <w:rFonts w:ascii="Arial" w:cs="Arial" w:eastAsia="Arial" w:hAnsi="Arial"/>
                <w:sz w:val="14"/>
                <w:szCs w:val="14"/>
                <w:b w:val="1"/>
                <w:bCs w:val="1"/>
                <w:color w:val="auto"/>
              </w:rPr>
              <w:t>December 31, 2019</w:t>
            </w:r>
          </w:p>
        </w:tc>
      </w:tr>
      <w:tr>
        <w:trPr>
          <w:trHeight w:val="264"/>
        </w:trPr>
        <w:tc>
          <w:tcPr>
            <w:tcW w:w="6180" w:type="dxa"/>
            <w:vAlign w:val="bottom"/>
          </w:tcPr>
          <w:p>
            <w:pPr>
              <w:spacing w:after="0"/>
              <w:rPr>
                <w:sz w:val="22"/>
                <w:szCs w:val="22"/>
                <w:color w:val="auto"/>
              </w:rPr>
            </w:pPr>
          </w:p>
        </w:tc>
        <w:tc>
          <w:tcPr>
            <w:tcW w:w="3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88,475</w:t>
            </w:r>
          </w:p>
        </w:tc>
      </w:tr>
      <w:tr>
        <w:trPr>
          <w:trHeight w:val="27"/>
        </w:trPr>
        <w:tc>
          <w:tcPr>
            <w:tcW w:w="61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 (*)</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8,225</w:t>
            </w:r>
          </w:p>
        </w:tc>
      </w:tr>
      <w:tr>
        <w:trPr>
          <w:trHeight w:val="297"/>
        </w:trPr>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lease assets</w:t>
            </w:r>
          </w:p>
        </w:tc>
        <w:tc>
          <w:tcPr>
            <w:tcW w:w="3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96,700</w:t>
            </w: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Current:</w:t>
            </w:r>
          </w:p>
        </w:tc>
        <w:tc>
          <w:tcPr>
            <w:tcW w:w="3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16,657</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2,729</w:t>
            </w:r>
          </w:p>
        </w:tc>
      </w:tr>
      <w:tr>
        <w:trPr>
          <w:trHeight w:val="27"/>
        </w:trPr>
        <w:tc>
          <w:tcPr>
            <w:tcW w:w="61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3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80,424</w:t>
            </w:r>
          </w:p>
        </w:tc>
      </w:tr>
      <w:tr>
        <w:trPr>
          <w:trHeight w:val="27"/>
        </w:trPr>
        <w:tc>
          <w:tcPr>
            <w:tcW w:w="61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5,315</w:t>
            </w:r>
          </w:p>
        </w:tc>
      </w:tr>
      <w:tr>
        <w:trPr>
          <w:trHeight w:val="257"/>
        </w:trPr>
        <w:tc>
          <w:tcPr>
            <w:tcW w:w="6180" w:type="dxa"/>
            <w:vAlign w:val="bottom"/>
          </w:tcPr>
          <w:p>
            <w:pPr>
              <w:ind w:left="340"/>
              <w:spacing w:after="0"/>
              <w:rPr>
                <w:sz w:val="20"/>
                <w:szCs w:val="20"/>
                <w:color w:val="auto"/>
              </w:rPr>
            </w:pPr>
            <w:r>
              <w:rPr>
                <w:rFonts w:ascii="Arial" w:cs="Arial" w:eastAsia="Arial" w:hAnsi="Arial"/>
                <w:sz w:val="18"/>
                <w:szCs w:val="18"/>
                <w:color w:val="auto"/>
              </w:rPr>
              <w:t>Total lease liabilities</w:t>
            </w:r>
          </w:p>
        </w:tc>
        <w:tc>
          <w:tcPr>
            <w:tcW w:w="3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105,125</w:t>
            </w:r>
          </w:p>
        </w:tc>
      </w:tr>
      <w:tr>
        <w:trPr>
          <w:trHeight w:val="20"/>
        </w:trPr>
        <w:tc>
          <w:tcPr>
            <w:tcW w:w="61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620" w:right="5260" w:hanging="5207"/>
        <w:spacing w:after="0" w:line="853" w:lineRule="auto"/>
        <w:tabs>
          <w:tab w:leader="none" w:pos="6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Finance leases are recorded net of accumulated depreciation of $1.2 million. 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our operating and finance lease expenses were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Quarter Ended December 31,</w:t>
            </w:r>
          </w:p>
        </w:tc>
      </w:tr>
      <w:tr>
        <w:trPr>
          <w:trHeight w:val="192"/>
        </w:trPr>
        <w:tc>
          <w:tcPr>
            <w:tcW w:w="9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9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center"/>
              <w:ind w:right="234"/>
              <w:spacing w:after="0"/>
              <w:rPr>
                <w:sz w:val="20"/>
                <w:szCs w:val="20"/>
                <w:color w:val="auto"/>
              </w:rPr>
            </w:pPr>
            <w:r>
              <w:rPr>
                <w:rFonts w:ascii="Arial" w:cs="Arial" w:eastAsia="Arial" w:hAnsi="Arial"/>
                <w:sz w:val="14"/>
                <w:szCs w:val="14"/>
                <w:b w:val="1"/>
                <w:bCs w:val="1"/>
                <w:color w:val="auto"/>
                <w:w w:val="93"/>
              </w:rPr>
              <w:t>(In thousands)</w:t>
            </w:r>
          </w:p>
        </w:tc>
      </w:tr>
      <w:tr>
        <w:trPr>
          <w:trHeight w:val="25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of lease assets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w:t>
            </w:r>
          </w:p>
        </w:tc>
      </w:tr>
      <w:tr>
        <w:trPr>
          <w:trHeight w:val="243"/>
        </w:trPr>
        <w:tc>
          <w:tcPr>
            <w:tcW w:w="948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3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59</w:t>
            </w:r>
          </w:p>
        </w:tc>
      </w:tr>
      <w:tr>
        <w:trPr>
          <w:trHeight w:val="27"/>
        </w:trPr>
        <w:tc>
          <w:tcPr>
            <w:tcW w:w="9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1,063</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3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974</w:t>
            </w:r>
          </w:p>
        </w:tc>
      </w:tr>
      <w:tr>
        <w:trPr>
          <w:trHeight w:val="27"/>
        </w:trPr>
        <w:tc>
          <w:tcPr>
            <w:tcW w:w="9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lease cost</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7,961</w:t>
            </w:r>
          </w:p>
        </w:tc>
      </w:tr>
      <w:tr>
        <w:trPr>
          <w:trHeight w:val="20"/>
        </w:trPr>
        <w:tc>
          <w:tcPr>
            <w:tcW w:w="9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weighted average lease term and weighted average discount rates related to our operating and finance leases: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58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December 31, 2019</w:t>
            </w:r>
          </w:p>
        </w:tc>
        <w:tc>
          <w:tcPr>
            <w:tcW w:w="520" w:type="dxa"/>
            <w:vAlign w:val="bottom"/>
            <w:tcBorders>
              <w:bottom w:val="single" w:sz="8" w:color="auto"/>
            </w:tcBorders>
          </w:tcPr>
          <w:p>
            <w:pPr>
              <w:spacing w:after="0"/>
              <w:rPr>
                <w:sz w:val="16"/>
                <w:szCs w:val="16"/>
                <w:color w:val="auto"/>
              </w:rPr>
            </w:pPr>
          </w:p>
        </w:tc>
      </w:tr>
      <w:tr>
        <w:trPr>
          <w:trHeight w:val="264"/>
        </w:trPr>
        <w:tc>
          <w:tcPr>
            <w:tcW w:w="7320" w:type="dxa"/>
            <w:vAlign w:val="bottom"/>
          </w:tcPr>
          <w:p>
            <w:pPr>
              <w:spacing w:after="0"/>
              <w:rPr>
                <w:sz w:val="22"/>
                <w:szCs w:val="22"/>
                <w:color w:val="auto"/>
              </w:rPr>
            </w:pPr>
          </w:p>
        </w:tc>
        <w:tc>
          <w:tcPr>
            <w:tcW w:w="2100" w:type="dxa"/>
            <w:vAlign w:val="bottom"/>
            <w:gridSpan w:val="2"/>
          </w:tcPr>
          <w:p>
            <w:pPr>
              <w:ind w:left="460"/>
              <w:spacing w:after="0"/>
              <w:rPr>
                <w:sz w:val="20"/>
                <w:szCs w:val="20"/>
                <w:color w:val="auto"/>
              </w:rPr>
            </w:pPr>
            <w:r>
              <w:rPr>
                <w:rFonts w:ascii="Arial" w:cs="Arial" w:eastAsia="Arial" w:hAnsi="Arial"/>
                <w:sz w:val="14"/>
                <w:szCs w:val="14"/>
                <w:b w:val="1"/>
                <w:bCs w:val="1"/>
                <w:color w:val="auto"/>
              </w:rPr>
              <w:t>Operating Leases</w:t>
            </w:r>
          </w:p>
        </w:tc>
        <w:tc>
          <w:tcPr>
            <w:tcW w:w="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Finance Leases</w:t>
            </w:r>
          </w:p>
        </w:tc>
        <w:tc>
          <w:tcPr>
            <w:tcW w:w="520" w:type="dxa"/>
            <w:vAlign w:val="bottom"/>
          </w:tcPr>
          <w:p>
            <w:pPr>
              <w:spacing w:after="0"/>
              <w:rPr>
                <w:sz w:val="22"/>
                <w:szCs w:val="22"/>
                <w:color w:val="auto"/>
              </w:rPr>
            </w:pPr>
          </w:p>
        </w:tc>
      </w:tr>
      <w:tr>
        <w:trPr>
          <w:trHeight w:val="250"/>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months)</w:t>
            </w:r>
          </w:p>
        </w:tc>
        <w:tc>
          <w:tcPr>
            <w:tcW w:w="20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200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4.04%</w:t>
            </w:r>
          </w:p>
        </w:tc>
      </w:tr>
      <w:tr>
        <w:trPr>
          <w:trHeight w:val="621"/>
        </w:trPr>
        <w:tc>
          <w:tcPr>
            <w:tcW w:w="7320" w:type="dxa"/>
            <w:vAlign w:val="bottom"/>
          </w:tcPr>
          <w:p>
            <w:pPr>
              <w:ind w:left="420"/>
              <w:spacing w:after="0"/>
              <w:rPr>
                <w:sz w:val="20"/>
                <w:szCs w:val="20"/>
                <w:color w:val="auto"/>
              </w:rPr>
            </w:pPr>
            <w:r>
              <w:rPr>
                <w:rFonts w:ascii="Arial" w:cs="Arial" w:eastAsia="Arial" w:hAnsi="Arial"/>
                <w:sz w:val="18"/>
                <w:szCs w:val="18"/>
                <w:color w:val="auto"/>
                <w:w w:val="90"/>
              </w:rPr>
              <w:t>Supplemental cash flow information related to our operating and finance leases was as follows:</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63"/>
        </w:trPr>
        <w:tc>
          <w:tcPr>
            <w:tcW w:w="7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Quarter Ended December 31,</w:t>
            </w:r>
          </w:p>
        </w:tc>
      </w:tr>
      <w:tr>
        <w:trPr>
          <w:trHeight w:val="192"/>
        </w:trPr>
        <w:tc>
          <w:tcPr>
            <w:tcW w:w="73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left="519"/>
              <w:spacing w:after="0"/>
              <w:rPr>
                <w:sz w:val="20"/>
                <w:szCs w:val="20"/>
                <w:color w:val="auto"/>
              </w:rPr>
            </w:pPr>
            <w:r>
              <w:rPr>
                <w:rFonts w:ascii="Arial" w:cs="Arial" w:eastAsia="Arial" w:hAnsi="Arial"/>
                <w:sz w:val="14"/>
                <w:szCs w:val="14"/>
                <w:b w:val="1"/>
                <w:bCs w:val="1"/>
                <w:color w:val="auto"/>
                <w:w w:val="89"/>
              </w:rPr>
              <w:t>2019</w:t>
            </w:r>
          </w:p>
        </w:tc>
        <w:tc>
          <w:tcPr>
            <w:tcW w:w="520" w:type="dxa"/>
            <w:vAlign w:val="bottom"/>
          </w:tcPr>
          <w:p>
            <w:pPr>
              <w:spacing w:after="0"/>
              <w:rPr>
                <w:sz w:val="16"/>
                <w:szCs w:val="16"/>
                <w:color w:val="auto"/>
              </w:rPr>
            </w:pPr>
          </w:p>
        </w:tc>
      </w:tr>
      <w:tr>
        <w:trPr>
          <w:trHeight w:val="250"/>
        </w:trPr>
        <w:tc>
          <w:tcPr>
            <w:tcW w:w="73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Borders>
              <w:top w:val="single" w:sz="8" w:color="auto"/>
            </w:tcBorders>
          </w:tcPr>
          <w:p>
            <w:pPr>
              <w:jc w:val="center"/>
              <w:ind w:left="448"/>
              <w:spacing w:after="0"/>
              <w:rPr>
                <w:sz w:val="20"/>
                <w:szCs w:val="20"/>
                <w:color w:val="auto"/>
              </w:rPr>
            </w:pPr>
            <w:r>
              <w:rPr>
                <w:rFonts w:ascii="Arial" w:cs="Arial" w:eastAsia="Arial" w:hAnsi="Arial"/>
                <w:sz w:val="14"/>
                <w:szCs w:val="14"/>
                <w:b w:val="1"/>
                <w:bCs w:val="1"/>
                <w:color w:val="auto"/>
                <w:w w:val="93"/>
              </w:rPr>
              <w:t>(In thousands)</w:t>
            </w:r>
          </w:p>
        </w:tc>
        <w:tc>
          <w:tcPr>
            <w:tcW w:w="520" w:type="dxa"/>
            <w:vAlign w:val="bottom"/>
            <w:tcBorders>
              <w:top w:val="single" w:sz="8" w:color="auto"/>
            </w:tcBorders>
          </w:tcPr>
          <w:p>
            <w:pPr>
              <w:spacing w:after="0"/>
              <w:rPr>
                <w:sz w:val="21"/>
                <w:szCs w:val="2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r>
      <w:tr>
        <w:trPr>
          <w:trHeight w:val="243"/>
        </w:trPr>
        <w:tc>
          <w:tcPr>
            <w:tcW w:w="732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22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5,050</w:t>
            </w:r>
          </w:p>
        </w:tc>
      </w:tr>
      <w:tr>
        <w:trPr>
          <w:trHeight w:val="27"/>
        </w:trPr>
        <w:tc>
          <w:tcPr>
            <w:tcW w:w="7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732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425</w:t>
            </w:r>
          </w:p>
        </w:tc>
      </w:tr>
      <w:tr>
        <w:trPr>
          <w:trHeight w:val="27"/>
        </w:trPr>
        <w:tc>
          <w:tcPr>
            <w:tcW w:w="7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assets obtained in exchange for new lease liabilities:</w:t>
            </w: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2,893</w:t>
            </w:r>
          </w:p>
        </w:tc>
      </w:tr>
      <w:tr>
        <w:trPr>
          <w:trHeight w:val="27"/>
        </w:trPr>
        <w:tc>
          <w:tcPr>
            <w:tcW w:w="7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3,045</w:t>
            </w:r>
          </w:p>
        </w:tc>
      </w:tr>
      <w:tr>
        <w:trPr>
          <w:trHeight w:val="27"/>
        </w:trPr>
        <w:tc>
          <w:tcPr>
            <w:tcW w:w="73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lease payments under our non-cancellable leases as of December 31, 2019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 Leases</w:t>
            </w:r>
          </w:p>
        </w:tc>
        <w:tc>
          <w:tcPr>
            <w:tcW w:w="320" w:type="dxa"/>
            <w:vAlign w:val="bottom"/>
          </w:tcPr>
          <w:p>
            <w:pPr>
              <w:spacing w:after="0"/>
              <w:rPr>
                <w:sz w:val="16"/>
                <w:szCs w:val="16"/>
                <w:color w:val="auto"/>
              </w:rPr>
            </w:pPr>
          </w:p>
        </w:tc>
        <w:tc>
          <w:tcPr>
            <w:tcW w:w="1620" w:type="dxa"/>
            <w:vAlign w:val="bottom"/>
          </w:tcPr>
          <w:p>
            <w:pPr>
              <w:jc w:val="right"/>
              <w:ind w:right="412"/>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2020</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20,585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3,003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17,297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267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Fiscal 2025</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future undiscounted lease payments</w:t>
            </w: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108,593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8,525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reported lease liability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97,081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8,044</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accordance with the prior guidance—ASC 840, Leases—our leases were previously designated as either capital or operating. Previously designated capital leases are now considered finance leases under the new guidance, Topic 842. The designation of operating leases remains substantially unchanged under the new guidance. The future minimum lease payments by fiscal year as determined prior to the adoption of Topic 842 under our previously designated capital and operating leases as disclosed in our Annual Report on Form 10-K for the fiscal year ended September 30, 2019, were as follows: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Operating Leases</w:t>
            </w:r>
          </w:p>
        </w:tc>
        <w:tc>
          <w:tcPr>
            <w:tcW w:w="280" w:type="dxa"/>
            <w:vAlign w:val="bottom"/>
          </w:tcPr>
          <w:p>
            <w:pPr>
              <w:spacing w:after="0"/>
              <w:rPr>
                <w:sz w:val="16"/>
                <w:szCs w:val="16"/>
                <w:color w:val="auto"/>
              </w:rPr>
            </w:pPr>
          </w:p>
        </w:tc>
        <w:tc>
          <w:tcPr>
            <w:tcW w:w="1540" w:type="dxa"/>
            <w:vAlign w:val="bottom"/>
          </w:tcPr>
          <w:p>
            <w:pPr>
              <w:jc w:val="right"/>
              <w:ind w:right="372"/>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19,969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16,940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24,431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113,746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Less amount representing interest</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minimum lease payments</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i w:val="1"/>
          <w:iCs w:val="1"/>
          <w:color w:val="auto"/>
        </w:rPr>
        <w:t>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w:t>
      </w:r>
    </w:p>
    <w:p>
      <w:pPr>
        <w:spacing w:after="0" w:line="2" w:lineRule="exact"/>
        <w:rPr>
          <w:sz w:val="20"/>
          <w:szCs w:val="20"/>
          <w:color w:val="auto"/>
        </w:rPr>
      </w:pPr>
    </w:p>
    <w:p>
      <w:pPr>
        <w:jc w:val="both"/>
        <w:ind w:firstLine="8"/>
        <w:spacing w:after="0" w:line="284" w:lineRule="auto"/>
        <w:tabs>
          <w:tab w:leader="none" w:pos="247"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projections of revenue, income or loss, expenses, earnings or loss per share, the payment or nonpayment of dividends,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business relationships with vendors, customers or collaborators, including the proportion of revenues generated from international as opposed to domestic customers; and (v) statements regarding products, their characteristics, performance, sales potential or effect in the hands of customers. Words such as “believes,” “anticipates,” “expects,” “intends,” “targeted,” “should,” “potential,” “goals,” “strategy,” “outlook,”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II, Item 1A, Risk Factors of this Quarterly Report on Form 10-Q.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Current Reports on Form 8-K to be filed by us in fiscal 2020.</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6"/>
          <w:szCs w:val="16"/>
          <w:color w:val="auto"/>
        </w:rPr>
        <w:t>We use analytics to help businesses automate, improve and connect decisions across their enterprise — an approach we commonly refer to as decision management. Our predictive analytics, which includes the industry-standard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 and our decision management systems leverage the use of big data and mathematical algorithms to predict, categorize, and describe consumer behavior in order to power hundreds of billions of customer decisions each year. We help thousands of companies in over 100 countries use our decision management technology to target and acquire customers more efficiently, increase customer value, detect and reduce fraud and credit losses, lower operating expenses, and enter new markets more profitably. Most leading banks and credit card issuers rely on our solutions, as do insurers, retailers, telecommunications providers, pharmaceutical companies, healthcare organizations, public agencies and organizations in other industries. We also serve consumers through online services that enable people to purchase and understand their FICO</w:t>
      </w:r>
      <w:r>
        <w:rPr>
          <w:rFonts w:ascii="Arial" w:cs="Arial" w:eastAsia="Arial" w:hAnsi="Arial"/>
          <w:sz w:val="19"/>
          <w:szCs w:val="19"/>
          <w:color w:val="auto"/>
          <w:vertAlign w:val="superscript"/>
        </w:rPr>
        <w:t>®</w:t>
      </w:r>
      <w:r>
        <w:rPr>
          <w:rFonts w:ascii="Arial" w:cs="Arial" w:eastAsia="Arial" w:hAnsi="Arial"/>
          <w:sz w:val="16"/>
          <w:szCs w:val="16"/>
          <w:color w:val="auto"/>
        </w:rPr>
        <w:t xml:space="preserve"> Scores, the standard measure of consumer credit risk in the U.S., and empower them to manage their financial health. Most of our solutions address customer engagement, including customer acquisition, customer onboarding, customer servicing and management, and customer protection. We also help businesses improve non-customer decisions such as streamlining transaction and claims processing, optimizing logistics, and identifying and quantifying security risk. Our solutions enable users to make decisions that are more precise, consistent and agile, and that systematically advance business goals. This helps our clients to reduce the cost of doing business, increase revenues and profitability, reduce losses from risks and fraud, and increase customer loyalty.</w:t>
      </w:r>
    </w:p>
    <w:p>
      <w:pPr>
        <w:spacing w:after="0" w:line="12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derive a significant portion of our revenues from clients outside the U.S. International revenues accounted for 33% and 37% of total consolidated revenues for the quarters ended December 31, 2019 and 2018, respectively. A significant portion of our revenues are derived from the sale of products and services within the banking (including consumer credit) industry, and 84% and 87% of our revenues were derived from within this industry during the quarters ended December 31, 2019 and 2018, respectively. In addition, we derive a significant share of revenues from transactional or unit-based software license fees, transactional fees derived under credit scoring, data processing, data management and SaaS subscription services arrangements, and annual software maintenance fees. Arrangements with transactional or unit-based pricing accounted for 74% of our revenues during each of the quarters ended December 31, 2019 and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Revenue increased 14% to $298.5 million during the quarter ended December 31, 2019 from $262.3 million during the quarter ended December 31, 2018. We continue to drive growth in our Scores segment. Scores revenue increased 34% to $115.1 million during the quarter ended December 31, 2019 from $85.7 million during the quarter ended December 31, 2018. Scores operating income increased 35% to $97.4 million during the quarter ended December 31, 2019 from $72.2 million during the quarter ended December 31, 2018. For our Applications and Decision Management Software segments, cloud business continues to grow as we pursue our cloud-first strategy. Cloud revenues increased 16% to $73.7 million during the quarter ended December 31, 2019 from $63.4 million during the quarter ended December 31, 2018.</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Operating income increased 6% to $51.9 million during the quarter ended December 31, 2019 from $49.0 million during the quarter ended December 31, 2018. Net earnings increased 37% to $54.9 million from $40.0 million primarily driven by higher excess tax benefits related to stock-based compensation as well as higher operating income during the quarter ended December 31, 2019.</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continue to enhance stockholder value by returning cash to stockholders through our stock repurchase program. During the quarter ended December 31, 2019, we repurchased approximately 0.17 million shares at a total repurchase price of $60.0 million. As of December 31, 2019, we had $160.3 million remaining under our current stock repurchase program.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Management uses bookings as an indicator of our business performance. Bookings represent contracts signed in the current reporting period that generate current and future revenue streams. We consider contract terms, knowledge of the marketplace and experience with our customers, among other factors, when determining the estimated value of contract bookings. While we disclose estimated revenue expected to be recognized in the future related to unsatisfied performance obligations in Note 13 to the accompanying condensed consolidated financial statements, we believe bookings amount is still a meaningful measure of our business as it includes estimated revenues omitted from Note 13, such as usage-based royalties derived from our software licenses, among others.</w:t>
      </w:r>
    </w:p>
    <w:p>
      <w:pPr>
        <w:spacing w:after="0" w:line="1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Bookings calculations have varying degrees of certainty depending on the revenue type and individual contract terms. Our revenue types are transactional and maintenance, professional services and license as defined in Revenue Recognition in the Critical Accounting Policy and Estimates. Our estimate of bookings is as of the end of the period in which a contract is signed, and we do not update initial booking estimates in future periods for changes between estimated and actual results. Actual revenue and the timing thereof could differ materially from our initial estimates. The following paragraphs discuss the key assumptions used to calculate bookings and the susceptibility of these assumptions to variability.</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Transactional and Maintenance Bookings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calculate transactional bookings as the total estimated volume of transactions or number of accounts under contract, multiplied by the contractual rate. Transactional contracts generally span multiple years and require us to make estimates about future transaction volumes or number of active accounts. We develop estimates from discussions with our customers and examinations of historical data from similar products and customer arrangements. Differences between estimated bookings and actual results occur due to variability in the volume of transactions or number of active accounts estimated. This variability is primarily caused by the following:</w:t>
      </w:r>
    </w:p>
    <w:p>
      <w:pPr>
        <w:spacing w:after="0" w:line="202" w:lineRule="exact"/>
        <w:rPr>
          <w:sz w:val="20"/>
          <w:szCs w:val="20"/>
          <w:color w:val="auto"/>
        </w:rPr>
      </w:pPr>
    </w:p>
    <w:p>
      <w:pPr>
        <w:ind w:left="1300" w:hanging="563"/>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health of the economy and economic trends in our customers’ industries;</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Individual performance of our customers relative to their competitors; and</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and other factors that affect the business environment in which our customers operate.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calculate maintenance bookings directly from the terms stated in the contract.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Professional Services Bookings</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calculate professional services bookings as the estimated number of hours to complete a project multiplied by the rate per hour. We estimate the number of hours based on our understanding of the project scope, conversations with customer personnel and our experience in estimating professional services projects. Estimated bookings may differ from actual results primarily due to differences in the actual number of hours incurred. These differences typically result from customer decisions to alter the mix of FICO and customer services resources used to complete a project.</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License Bookings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On-premises licenses are sold on a perpetual or term basis. When the fee is in the form of a fixed consideration, including the guaranteed minimum in usage-based royalty, the fixed amount is recorded as a license booking. The variable amount, including usage-based royalty not subject to the guaranteed minimum or earned in excess of the minimum amount is recorded as a transactional and maintenance booking. Please refer to Transactional and Maintenance Bookings above on how we develop estimates for such bookings.</w:t>
      </w:r>
    </w:p>
    <w:p>
      <w:pPr>
        <w:spacing w:after="0" w:line="29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Bookings Trend Analysis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Bookings</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Bookings</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87"/>
              </w:rPr>
              <w:t>Bookings</w:t>
            </w:r>
          </w:p>
        </w:tc>
        <w:tc>
          <w:tcPr>
            <w:tcW w:w="100" w:type="dxa"/>
            <w:vAlign w:val="bottom"/>
            <w:vMerge w:val="restart"/>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over $1</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Yield (1)</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Million</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Term (2)</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(Months)</w:t>
            </w: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December 31,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Quarter Ended December 31, 2018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80" w:type="dxa"/>
            <w:vAlign w:val="bottom"/>
          </w:tcPr>
          <w:p>
            <w:pPr>
              <w:jc w:val="right"/>
              <w:ind w:right="2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80" w:type="dxa"/>
            <w:vAlign w:val="bottom"/>
          </w:tcPr>
          <w:p>
            <w:pPr>
              <w:jc w:val="right"/>
              <w:ind w:right="2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Bookings yield represents the percentage of revenue recognized from bookings for the periods indicated.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Weighted-average term of bookings measures the average term over which bookings are expected to be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9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Transactional and maintenance bookings were 37% and 55% of total bookings for the quarters ended December 31, 2019 and 2018, respectively. Professional services bookings were 36% and 33% of total bookings for the quarters ended December 31, 2019 and 2018, respectively. License bookings were 27% and 12% of total bookings for the quarters ended December 31, 2019 and 2018, respectively.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set forth certain summary information on a segment basis related to our revenues for the quarters ended December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Quarter Ended December 31,</w:t>
            </w:r>
          </w:p>
        </w:tc>
        <w:tc>
          <w:tcPr>
            <w:tcW w:w="252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rPr>
              <w:t>Percentage of Revenues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Period-to-Period</w:t>
            </w:r>
          </w:p>
        </w:tc>
        <w:tc>
          <w:tcPr>
            <w:tcW w:w="14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2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4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96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20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78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Change</w:t>
            </w:r>
          </w:p>
        </w:tc>
        <w:tc>
          <w:tcPr>
            <w:tcW w:w="1420" w:type="dxa"/>
            <w:vAlign w:val="bottom"/>
          </w:tcPr>
          <w:p>
            <w:pPr>
              <w:jc w:val="right"/>
              <w:ind w:right="36"/>
              <w:spacing w:after="0" w:line="158" w:lineRule="exact"/>
              <w:rPr>
                <w:sz w:val="20"/>
                <w:szCs w:val="20"/>
                <w:color w:val="auto"/>
              </w:rPr>
            </w:pPr>
            <w:r>
              <w:rPr>
                <w:rFonts w:ascii="Arial" w:cs="Arial" w:eastAsia="Arial" w:hAnsi="Arial"/>
                <w:sz w:val="14"/>
                <w:szCs w:val="14"/>
                <w:b w:val="1"/>
                <w:bCs w:val="1"/>
                <w:color w:val="auto"/>
                <w:w w:val="97"/>
              </w:rPr>
              <w:t>Percentage 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152,178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147,659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4,519</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780" w:type="dxa"/>
            <w:vAlign w:val="bottom"/>
            <w:gridSpan w:val="3"/>
          </w:tcPr>
          <w:p>
            <w:pPr>
              <w:ind w:left="40"/>
              <w:spacing w:after="0"/>
              <w:rPr>
                <w:sz w:val="20"/>
                <w:szCs w:val="20"/>
                <w:color w:val="auto"/>
              </w:rPr>
            </w:pPr>
            <w:r>
              <w:rPr>
                <w:rFonts w:ascii="Arial" w:cs="Arial" w:eastAsia="Arial" w:hAnsi="Arial"/>
                <w:sz w:val="18"/>
                <w:szCs w:val="18"/>
                <w:color w:val="auto"/>
              </w:rPr>
              <w:t>Scores</w:t>
            </w:r>
          </w:p>
        </w:tc>
        <w:tc>
          <w:tcPr>
            <w:tcW w:w="3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115,138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85,683</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29,455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Decision Management Software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31,188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28,914</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298,504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262,256</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36,248</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Applications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Quarter Ended December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5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98,837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97,165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34,023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31,462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19,318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512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152,178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147,659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Applications segment revenues increased $4.5 million primarily due to a $4.4 million increase in our originations solutions, driven by an increase in services revenue and SaaS subscription revenue classified as transactional and maintenance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Quarter Ended December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Period-to-Period</w:t>
            </w:r>
          </w:p>
        </w:tc>
        <w:tc>
          <w:tcPr>
            <w:tcW w:w="16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5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107,446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84,821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22,625</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7,428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7,267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4,514 %</w:t>
            </w:r>
          </w:p>
        </w:tc>
        <w:tc>
          <w:tcPr>
            <w:tcW w:w="0" w:type="dxa"/>
            <w:vAlign w:val="bottom"/>
          </w:tcPr>
          <w:p>
            <w:pPr>
              <w:spacing w:after="0"/>
              <w:rPr>
                <w:sz w:val="1"/>
                <w:szCs w:val="1"/>
                <w:color w:val="auto"/>
              </w:rPr>
            </w:pPr>
          </w:p>
        </w:tc>
      </w:tr>
      <w:tr>
        <w:trPr>
          <w:trHeight w:val="257"/>
        </w:trPr>
        <w:tc>
          <w:tcPr>
            <w:tcW w:w="508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115,138</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85,683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29,455</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Scores segment revenues increased $29.5 million due to an increase of $26.4 million in our business-to-business scores revenue and $3.1 million in our business-to-consumer services revenue. The increase in business-to-business scores was primarily attributable to a higher unit price in auto activities, an increase in mortgage volumes, as well as a large annual license deal recognized during the quarter ended December 31, 2019. The increase in business-to-consumer services was primarily attributable to an increase in royalties derived from scores sold indirectly to consumers through credit reporting agencies.</w:t>
      </w:r>
    </w:p>
    <w:p>
      <w:pPr>
        <w:spacing w:after="0" w:line="1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quarters ended December 31, 2019 and 2018, revenues generated from our agreements with Experian accounted for 13% and 11%, respectively, of our total revenues, and revenues generated from our agreements with Equifax and TransUnion together accounted for 16% and 14%, respectively, of our total revenues. Revenues from these customers included amounts recorded in our other segments.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Decision Management Software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Quarter Ended December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Period-to-Period</w:t>
            </w:r>
          </w:p>
        </w:tc>
        <w:tc>
          <w:tcPr>
            <w:tcW w:w="16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5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14,091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12,207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1,884</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9,738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8,645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7,359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508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31,188</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28,914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Decision Management Software segment revenues increased $2.3 million primarily attributable to an increase in our SaaS subscription revenue classified as transactional and maintenance revenue and services revenue.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Income / Expenses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certain summary information related to our condensed consolidated statements of income and comprehensive income for the quarters ended December 31, 2019 and 2018:</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Quarter Ended December 31,</w:t>
            </w:r>
          </w:p>
        </w:tc>
        <w:tc>
          <w:tcPr>
            <w:tcW w:w="30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Percentage of Revenues</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4"/>
              </w:rPr>
              <w:t>Period-to-Period</w:t>
            </w:r>
          </w:p>
        </w:tc>
        <w:tc>
          <w:tcPr>
            <w:tcW w:w="13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13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5"/>
                <w:szCs w:val="5"/>
                <w:color w:val="auto"/>
              </w:rPr>
            </w:pPr>
          </w:p>
        </w:tc>
        <w:tc>
          <w:tcPr>
            <w:tcW w:w="13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0"/>
              </w:rPr>
              <w:t>(In thousands, except</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center"/>
              <w:ind w:left="574"/>
              <w:spacing w:after="0"/>
              <w:rPr>
                <w:sz w:val="20"/>
                <w:szCs w:val="20"/>
                <w:color w:val="auto"/>
              </w:rPr>
            </w:pPr>
            <w:r>
              <w:rPr>
                <w:rFonts w:ascii="Arial" w:cs="Arial" w:eastAsia="Arial" w:hAnsi="Arial"/>
                <w:sz w:val="14"/>
                <w:szCs w:val="14"/>
                <w:b w:val="1"/>
                <w:bCs w:val="1"/>
                <w:color w:val="auto"/>
                <w:w w:val="88"/>
              </w:rPr>
              <w:t>employees)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except employees)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298,504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262,256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100 %  $</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36,248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90,758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76,066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2420" w:type="dxa"/>
            <w:vAlign w:val="bottom"/>
          </w:tcPr>
          <w:p>
            <w:pPr>
              <w:ind w:left="380"/>
              <w:spacing w:after="0"/>
              <w:rPr>
                <w:sz w:val="20"/>
                <w:szCs w:val="20"/>
                <w:color w:val="auto"/>
              </w:rPr>
            </w:pPr>
            <w:r>
              <w:rPr>
                <w:rFonts w:ascii="Arial" w:cs="Arial" w:eastAsia="Arial" w:hAnsi="Arial"/>
                <w:sz w:val="18"/>
                <w:szCs w:val="18"/>
                <w:color w:val="auto"/>
                <w:w w:val="91"/>
              </w:rPr>
              <w:t>Research and development</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38,943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35,426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3,517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112,021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100,258</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11,763</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2420" w:type="dxa"/>
            <w:vAlign w:val="bottom"/>
          </w:tcPr>
          <w:p>
            <w:pPr>
              <w:ind w:left="380"/>
              <w:spacing w:after="0"/>
              <w:rPr>
                <w:sz w:val="20"/>
                <w:szCs w:val="20"/>
                <w:color w:val="auto"/>
              </w:rPr>
            </w:pPr>
            <w:r>
              <w:rPr>
                <w:rFonts w:ascii="Arial" w:cs="Arial" w:eastAsia="Arial" w:hAnsi="Arial"/>
                <w:sz w:val="18"/>
                <w:szCs w:val="18"/>
                <w:color w:val="auto"/>
                <w:w w:val="99"/>
              </w:rPr>
              <w:t>Amortization of intangible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8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Restructuring and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acquisition-related</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246,622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213,252</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33,370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51,882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49,004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(9,676)</w:t>
            </w:r>
          </w:p>
        </w:tc>
        <w:tc>
          <w:tcPr>
            <w:tcW w:w="12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41,895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37,156</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4,739</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97"/>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54,921</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40,007</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14,914</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1"/>
              </w:rPr>
              <w:t>Number of employees at quarter</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3,956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3,772</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Cost of revenues consists primarily of employee salaries and benefits for personnel directly involved in delivering software products, operating SaaS infrastructure, and providing support, implementation and consulting services; allocated overhead facilities and data center costs; software royalty fees; credit bureau data and processing services; third-party hosting fees related to our SaaS services; travel costs and outside services.</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Cost of revenues as a percentage of revenues increased to 30% during the quarter ended December 31, 2019 from 29% during the quarter ended December 31, 2018. The $14.7 million increase was primarily attributable to a $4.6 million increase in personnel and labor costs, a $3.9 million increase in allocated facilities and infrastructure costs, and a $3.6 million increase in direct materials cost. The increase in personnel and labor costs was primarily attributable to an increase in headcount. The increase in facilities and infrastructure costs and direct materials cost was primarily attributable to increased resource requirement due to expansion in our cloud infrastructure operations.</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Research and development expenses include personnel and related overhead costs incurred in the development of new products and services, including research of mathematical and statistical models and development of new versions of Applications and Decision Management Software products.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quarter over quarter increase in research and development expenses of $3.5 million was primarily attributable to an increase in labor and personnel costs as a result of increased headcount. Research and development expenses as a percentage of revenues was 13% during the quarter ended December 31, 2019, consistent with that incurred during the quarter ended December 31,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Selling, general and administrative expenses consist principally of employee salaries, commissions and benefits; travel costs; overhead costs; advertising and other promotional expenses; corporate facilities expenses; legal expenses; business development expenses and the cost of operating computer systems.</w:t>
      </w:r>
    </w:p>
    <w:p>
      <w:pPr>
        <w:spacing w:after="0" w:line="18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6"/>
          <w:szCs w:val="16"/>
          <w:color w:val="auto"/>
        </w:rPr>
        <w:t>The quarter over quarter increase in selling, general and administrative expenses of $11.8 million was primarily attributable to a $6.7 million increase in personnel and labor costs as a result of increased headcount; as well as a $4.2 million increase in marketing costs, primarily driven by a company-wide marketing event — FICO WORLD</w:t>
      </w:r>
      <w:r>
        <w:rPr>
          <w:rFonts w:ascii="Arial" w:cs="Arial" w:eastAsia="Arial" w:hAnsi="Arial"/>
          <w:sz w:val="22"/>
          <w:szCs w:val="22"/>
          <w:color w:val="auto"/>
          <w:vertAlign w:val="superscript"/>
        </w:rPr>
        <w:t>19</w:t>
      </w:r>
      <w:r>
        <w:rPr>
          <w:rFonts w:ascii="Arial" w:cs="Arial" w:eastAsia="Arial" w:hAnsi="Arial"/>
          <w:sz w:val="16"/>
          <w:szCs w:val="16"/>
          <w:color w:val="auto"/>
        </w:rPr>
        <w:t xml:space="preserve"> — held during the quarter ended December 31, 2019. Selling, general and administrative expenses as a percentage of revenues was 38% during the quarter ended December 31, 2019, consistent with that incurred during the quarter ended December 31, 2018.</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of intangible assets consists of amortization expense related to intangible assets recorded in connection with acquisitions accounted for by the acquisition method of accounting. Our finite-lived intangible assets, consisting primarily of completed technology and customer contracts and relationships, are being amortized using the straight-line method over periods ranging from four to fifteen years.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Amortization expense was $1.8 million during the quarter ended December 31, 2019 versus $1.5 million during the quarter ended December 31, 2018.</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and Acquisition-Related</w:t>
      </w:r>
    </w:p>
    <w:p>
      <w:pPr>
        <w:spacing w:after="0" w:line="11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During the quarter ended December 31, 2019, we incurred employee separation costs of $3.1 million due to the elimination of 69 positions throughout the Company. Cash payment for all the employee separation costs will be paid by the end of the second quarter of our fiscal 2020. There was no acquisition-related expense during the quarter ended December 31, 2019.</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restructuring or acquisition-related expenses during the quarter ended December 31, 2018.</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Interest expense includes primarily interest on the senior notes issued in July 2010, May 2018, and December 2019, as well as interest and credit facility fees on the revolving line of credit. Our consolidated statements of income and comprehensive income include interest expense netted with interest income, which is derived primarily from the investment of funds in excess of our immediate operating requirements.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expense was $9.9 million during the quarter ended December 31, 2019 versus $9.7 million during the quarter ended December 31, 2018.</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expense, net consists primarily of realized investment gains/losses, exchange rate gains/losses resulting from remeasurement of foreign-currency-denominated receivable and cash balances into their respective functional currencies at period-end market rates, net of the impact of offsetting foreign currency forward contracts and other non-operating items.</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quarter over quarter decrease of $2.0 million in other expense, net was primarily due to an increase in net unrealized gains on our supplemental retirement and savings plan, partially offset by an increase in foreign currency exchange loss.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effective income tax rate was (31.1)% and (7.7)% during the quarters ended December 31, 2019 and 2018,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 The effective tax rate for the quarters ended December 31, 2019 and 2018 was significantly impacted by the recording of excess tax benefits relating to stock awards that vested in December of each period. The impact is dependent upon the future stock price in relation to the fair value of awards on grant date. Therefore, the increase in stock price for stock awards that vested in December 2019 resulted in an increased excess tax benefit for the quarter ended December 31, 2019.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set forth certain summary information on a segment basis related to our operating income for the quarters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and 2018:</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Quarter Ended December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Period-to-Period</w:t>
            </w:r>
          </w:p>
        </w:tc>
        <w:tc>
          <w:tcPr>
            <w:tcW w:w="16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5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40" w:type="dxa"/>
            <w:vAlign w:val="bottom"/>
          </w:tcPr>
          <w:p>
            <w:pPr>
              <w:spacing w:after="0"/>
              <w:rPr>
                <w:sz w:val="6"/>
                <w:szCs w:val="6"/>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508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Change</w:t>
            </w:r>
          </w:p>
        </w:tc>
        <w:tc>
          <w:tcPr>
            <w:tcW w:w="1600" w:type="dxa"/>
            <w:vAlign w:val="bottom"/>
          </w:tcPr>
          <w:p>
            <w:pPr>
              <w:jc w:val="right"/>
              <w:ind w:right="133"/>
              <w:spacing w:after="0" w:line="158"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36,168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40,061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Scores</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97,426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72,201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25,225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Decision Management Software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Corporate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(34,210)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(4,956)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segment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79,927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7,567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Unallocated share-based compensation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(23,145)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Unallocated amortization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Unallocated restructuring and acquisition-related</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51,882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49,004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4"/>
          </w:tcPr>
          <w:p>
            <w:pPr>
              <w:jc w:val="center"/>
              <w:ind w:left="540"/>
              <w:spacing w:after="0"/>
              <w:rPr>
                <w:sz w:val="20"/>
                <w:szCs w:val="20"/>
                <w:color w:val="auto"/>
              </w:rPr>
            </w:pPr>
            <w:r>
              <w:rPr>
                <w:rFonts w:ascii="Arial" w:cs="Arial" w:eastAsia="Arial" w:hAnsi="Arial"/>
                <w:sz w:val="14"/>
                <w:szCs w:val="14"/>
                <w:b w:val="1"/>
                <w:bCs w:val="1"/>
                <w:color w:val="auto"/>
                <w:w w:val="96"/>
              </w:rPr>
              <w:t>Quarter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tcPr>
          <w:p>
            <w:pPr>
              <w:jc w:val="center"/>
              <w:ind w:left="1019"/>
              <w:spacing w:after="0"/>
              <w:rPr>
                <w:sz w:val="20"/>
                <w:szCs w:val="20"/>
                <w:color w:val="auto"/>
              </w:rPr>
            </w:pPr>
            <w:r>
              <w:rPr>
                <w:rFonts w:ascii="Arial" w:cs="Arial" w:eastAsia="Arial" w:hAnsi="Arial"/>
                <w:sz w:val="14"/>
                <w:szCs w:val="14"/>
                <w:b w:val="1"/>
                <w:bCs w:val="1"/>
                <w:color w:val="auto"/>
                <w:w w:val="90"/>
              </w:rPr>
              <w:t>Percentage of</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Borders>
              <w:bottom w:val="single" w:sz="8" w:color="auto"/>
            </w:tcBorders>
            <w:gridSpan w:val="5"/>
          </w:tcPr>
          <w:p>
            <w:pPr>
              <w:jc w:val="center"/>
              <w:ind w:left="1019"/>
              <w:spacing w:after="0"/>
              <w:rPr>
                <w:sz w:val="20"/>
                <w:szCs w:val="20"/>
                <w:color w:val="auto"/>
              </w:rPr>
            </w:pPr>
            <w:r>
              <w:rPr>
                <w:rFonts w:ascii="Arial" w:cs="Arial" w:eastAsia="Arial" w:hAnsi="Arial"/>
                <w:sz w:val="14"/>
                <w:szCs w:val="14"/>
                <w:b w:val="1"/>
                <w:bCs w:val="1"/>
                <w:color w:val="auto"/>
                <w:w w:val="90"/>
              </w:rPr>
              <w:t>Revenues</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4"/>
          </w:tcPr>
          <w:p>
            <w:pPr>
              <w:jc w:val="center"/>
              <w:ind w:left="580"/>
              <w:spacing w:after="0"/>
              <w:rPr>
                <w:sz w:val="20"/>
                <w:szCs w:val="20"/>
                <w:color w:val="auto"/>
              </w:rPr>
            </w:pPr>
            <w:r>
              <w:rPr>
                <w:rFonts w:ascii="Arial" w:cs="Arial" w:eastAsia="Arial" w:hAnsi="Arial"/>
                <w:sz w:val="14"/>
                <w:szCs w:val="14"/>
                <w:b w:val="1"/>
                <w:bCs w:val="1"/>
                <w:color w:val="auto"/>
                <w:w w:val="93"/>
              </w:rPr>
              <w:t>(In thousands)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152,178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147,659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Segment operating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(116,010)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(107,598)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36,168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40,061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8"/>
                <w:szCs w:val="18"/>
                <w:b w:val="1"/>
                <w:bCs w:val="1"/>
                <w:i w:val="1"/>
                <w:iCs w:val="1"/>
                <w:color w:val="auto"/>
              </w:rPr>
              <w:t>Scores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4"/>
          </w:tcPr>
          <w:p>
            <w:pPr>
              <w:jc w:val="center"/>
              <w:ind w:left="540"/>
              <w:spacing w:after="0"/>
              <w:rPr>
                <w:sz w:val="20"/>
                <w:szCs w:val="20"/>
                <w:color w:val="auto"/>
              </w:rPr>
            </w:pPr>
            <w:r>
              <w:rPr>
                <w:rFonts w:ascii="Arial" w:cs="Arial" w:eastAsia="Arial" w:hAnsi="Arial"/>
                <w:sz w:val="14"/>
                <w:szCs w:val="14"/>
                <w:b w:val="1"/>
                <w:bCs w:val="1"/>
                <w:color w:val="auto"/>
                <w:w w:val="96"/>
              </w:rPr>
              <w:t>Quarter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5"/>
          </w:tcPr>
          <w:p>
            <w:pPr>
              <w:jc w:val="center"/>
              <w:ind w:left="1019"/>
              <w:spacing w:after="0"/>
              <w:rPr>
                <w:sz w:val="20"/>
                <w:szCs w:val="20"/>
                <w:color w:val="auto"/>
              </w:rPr>
            </w:pPr>
            <w:r>
              <w:rPr>
                <w:rFonts w:ascii="Arial" w:cs="Arial" w:eastAsia="Arial" w:hAnsi="Arial"/>
                <w:sz w:val="14"/>
                <w:szCs w:val="14"/>
                <w:b w:val="1"/>
                <w:bCs w:val="1"/>
                <w:color w:val="auto"/>
                <w:w w:val="90"/>
              </w:rPr>
              <w:t>Percentage of</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Borders>
              <w:bottom w:val="single" w:sz="8" w:color="auto"/>
            </w:tcBorders>
            <w:gridSpan w:val="5"/>
          </w:tcPr>
          <w:p>
            <w:pPr>
              <w:jc w:val="center"/>
              <w:ind w:left="1019"/>
              <w:spacing w:after="0"/>
              <w:rPr>
                <w:sz w:val="20"/>
                <w:szCs w:val="20"/>
                <w:color w:val="auto"/>
              </w:rPr>
            </w:pPr>
            <w:r>
              <w:rPr>
                <w:rFonts w:ascii="Arial" w:cs="Arial" w:eastAsia="Arial" w:hAnsi="Arial"/>
                <w:sz w:val="14"/>
                <w:szCs w:val="14"/>
                <w:b w:val="1"/>
                <w:bCs w:val="1"/>
                <w:color w:val="auto"/>
                <w:w w:val="90"/>
              </w:rPr>
              <w:t>Revenues</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4"/>
          </w:tcPr>
          <w:p>
            <w:pPr>
              <w:jc w:val="center"/>
              <w:ind w:left="580"/>
              <w:spacing w:after="0"/>
              <w:rPr>
                <w:sz w:val="20"/>
                <w:szCs w:val="20"/>
                <w:color w:val="auto"/>
              </w:rPr>
            </w:pPr>
            <w:r>
              <w:rPr>
                <w:rFonts w:ascii="Arial" w:cs="Arial" w:eastAsia="Arial" w:hAnsi="Arial"/>
                <w:sz w:val="14"/>
                <w:szCs w:val="14"/>
                <w:b w:val="1"/>
                <w:bCs w:val="1"/>
                <w:color w:val="auto"/>
                <w:w w:val="93"/>
              </w:rPr>
              <w:t>(In thousands)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115,138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85,683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Segment operating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97,426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72,201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8"/>
                <w:szCs w:val="18"/>
                <w:b w:val="1"/>
                <w:bCs w:val="1"/>
                <w:i w:val="1"/>
                <w:iCs w:val="1"/>
                <w:color w:val="auto"/>
              </w:rPr>
              <w:t>Decision Management Software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4"/>
          </w:tcPr>
          <w:p>
            <w:pPr>
              <w:jc w:val="center"/>
              <w:ind w:left="500"/>
              <w:spacing w:after="0"/>
              <w:rPr>
                <w:sz w:val="20"/>
                <w:szCs w:val="20"/>
                <w:color w:val="auto"/>
              </w:rPr>
            </w:pPr>
            <w:r>
              <w:rPr>
                <w:rFonts w:ascii="Arial" w:cs="Arial" w:eastAsia="Arial" w:hAnsi="Arial"/>
                <w:sz w:val="14"/>
                <w:szCs w:val="14"/>
                <w:b w:val="1"/>
                <w:bCs w:val="1"/>
                <w:color w:val="auto"/>
                <w:w w:val="96"/>
              </w:rPr>
              <w:t>Quarter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5"/>
          </w:tcPr>
          <w:p>
            <w:pPr>
              <w:jc w:val="center"/>
              <w:ind w:left="999"/>
              <w:spacing w:after="0"/>
              <w:rPr>
                <w:sz w:val="20"/>
                <w:szCs w:val="20"/>
                <w:color w:val="auto"/>
              </w:rPr>
            </w:pPr>
            <w:r>
              <w:rPr>
                <w:rFonts w:ascii="Arial" w:cs="Arial" w:eastAsia="Arial" w:hAnsi="Arial"/>
                <w:sz w:val="14"/>
                <w:szCs w:val="14"/>
                <w:b w:val="1"/>
                <w:bCs w:val="1"/>
                <w:color w:val="auto"/>
                <w:w w:val="88"/>
              </w:rPr>
              <w:t>Percentage of</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jc w:val="center"/>
              <w:ind w:left="999"/>
              <w:spacing w:after="0"/>
              <w:rPr>
                <w:sz w:val="20"/>
                <w:szCs w:val="20"/>
                <w:color w:val="auto"/>
              </w:rPr>
            </w:pPr>
            <w:r>
              <w:rPr>
                <w:rFonts w:ascii="Arial" w:cs="Arial" w:eastAsia="Arial" w:hAnsi="Arial"/>
                <w:sz w:val="14"/>
                <w:szCs w:val="14"/>
                <w:b w:val="1"/>
                <w:bCs w:val="1"/>
                <w:color w:val="auto"/>
                <w:w w:val="87"/>
              </w:rPr>
              <w:t>Revenues</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4"/>
        </w:trPr>
        <w:tc>
          <w:tcPr>
            <w:tcW w:w="5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4"/>
          </w:tcPr>
          <w:p>
            <w:pPr>
              <w:jc w:val="center"/>
              <w:ind w:left="540"/>
              <w:spacing w:after="0"/>
              <w:rPr>
                <w:sz w:val="20"/>
                <w:szCs w:val="20"/>
                <w:color w:val="auto"/>
              </w:rPr>
            </w:pPr>
            <w:r>
              <w:rPr>
                <w:rFonts w:ascii="Arial" w:cs="Arial" w:eastAsia="Arial" w:hAnsi="Arial"/>
                <w:sz w:val="14"/>
                <w:szCs w:val="14"/>
                <w:b w:val="1"/>
                <w:bCs w:val="1"/>
                <w:color w:val="auto"/>
                <w:w w:val="93"/>
              </w:rPr>
              <w:t>(In thousands)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Segment revenues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31,188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28,914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operating expense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(50,645)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Segment operating loss</w:t>
            </w: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quarter over quarter $2.9 million increase in operating income was primarily attributable to a $36.2 million increase in segment revenues, partially offset by a $23.7 million increase in segment operating expenses, a $4.9 million increase in corporate expenses, a $3.1 million increase in restructuring and acquisition-related cost, and a $1.3 million increase in share-based compensation cost.</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the segment level, the quarter over quarter $7.6 million increase in segment operating income was the result of a $25.2 million increase in our Scores segment operating income, partially offset by an $8.8 million increase in our Decision Management Software segment operating loss, a $4.9 million increase in corporate expense, and a $3.9 million decrease in our Applications segment operating income.</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quarter over quarter $3.9 million decrease in Applications segment operating income was due to an $8.4 million increase in segment operating expenses, partially offset by a $4.5 million increase in segment revenue. Segment operating income as a percentage of segment revenue for Applications decreased to 24% from 27% primarily due to increased headcount as well as our continued investment in cloud infrastructure operations.</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quarter over quarter $25.2 million increase in Scores segment operating income was due to a $29.4 million increase in segment revenue, partially offset by a $4.2 million increase in segment operating expenses. Segment operating income as a percentage of segment revenue for Scores during the quarter ended December 31, 2019 was 85%, materially consistent with the quarter ended December 31, 2018.</w:t>
      </w:r>
    </w:p>
    <w:p>
      <w:pPr>
        <w:spacing w:after="0" w:line="181"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The quarter over quarter $8.8 million increase in Decision Management Software segment operating loss was due to an $11.1 million increase in segment operating expenses, partially offset by a $2.3 million increase in segment revenue. Segment operating margin for Decision Management Software decreased to a negative 62% from a negative 37% primarily due to increase headcount as well as our continued investment in cloud infrastructure operations.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of December 31, 2019, we had $111.2 million in cash and cash equivalents, which included $88.7 million held off-shore by our foreign subsidiaries. We believe these balances, as well as available borrowings from our $400 million revolving line of credit and anticipated cash flows from operating activities, will be sufficient to fund our working and other capital requirements as well as the $85.0 million principal payment due in July 2020 on our senior notes issued in July 2010. Under our current financing arrangements, we have no other significant debt obligations maturing over the next twelve months. Additionally, though we do not anticipate the need to repatriate any undistributed earnings from our foreign subsidiaries for the foreseeable future, we may take advantage of opportunities where we are able to repatriate these earnings to the U.S. without material incremental tax provision.</w:t>
      </w:r>
    </w:p>
    <w:p>
      <w:pPr>
        <w:spacing w:after="0" w:line="16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3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Quarter Ended December 31,</w:t>
            </w:r>
          </w:p>
        </w:tc>
        <w:tc>
          <w:tcPr>
            <w:tcW w:w="280" w:type="dxa"/>
            <w:vAlign w:val="bottom"/>
          </w:tcPr>
          <w:p>
            <w:pPr>
              <w:spacing w:after="0"/>
              <w:rPr>
                <w:sz w:val="16"/>
                <w:szCs w:val="16"/>
                <w:color w:val="auto"/>
              </w:rPr>
            </w:pPr>
          </w:p>
        </w:tc>
        <w:tc>
          <w:tcPr>
            <w:tcW w:w="13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6"/>
              </w:rPr>
              <w:t>Period-to-Period</w:t>
            </w:r>
          </w:p>
        </w:tc>
        <w:tc>
          <w:tcPr>
            <w:tcW w:w="0" w:type="dxa"/>
            <w:vAlign w:val="bottom"/>
          </w:tcPr>
          <w:p>
            <w:pPr>
              <w:spacing w:after="0"/>
              <w:rPr>
                <w:sz w:val="1"/>
                <w:szCs w:val="1"/>
                <w:color w:val="auto"/>
              </w:rPr>
            </w:pPr>
          </w:p>
        </w:tc>
      </w:tr>
      <w:tr>
        <w:trPr>
          <w:trHeight w:val="71"/>
        </w:trPr>
        <w:tc>
          <w:tcPr>
            <w:tcW w:w="45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Arial" w:cs="Arial" w:eastAsia="Arial" w:hAnsi="Arial"/>
                <w:sz w:val="14"/>
                <w:szCs w:val="14"/>
                <w:b w:val="1"/>
                <w:bCs w:val="1"/>
                <w:color w:val="auto"/>
                <w:w w:val="99"/>
              </w:rPr>
              <w:t>(In thousands)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2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2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60,365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48,857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11,508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2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2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(50,137)</w:t>
            </w:r>
          </w:p>
        </w:tc>
        <w:tc>
          <w:tcPr>
            <w:tcW w:w="2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1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(10,127)</w:t>
            </w:r>
          </w:p>
        </w:tc>
        <w:tc>
          <w:tcPr>
            <w:tcW w:w="2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14,917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vMerge w:val="restart"/>
          </w:tcPr>
          <w:p>
            <w:pPr>
              <w:jc w:val="right"/>
              <w:ind w:right="850"/>
              <w:spacing w:after="0"/>
              <w:rPr>
                <w:sz w:val="20"/>
                <w:szCs w:val="20"/>
                <w:color w:val="auto"/>
              </w:rPr>
            </w:pPr>
            <w:r>
              <w:rPr>
                <w:rFonts w:ascii="Arial" w:cs="Arial" w:eastAsia="Arial" w:hAnsi="Arial"/>
                <w:sz w:val="18"/>
                <w:szCs w:val="18"/>
                <w:color w:val="auto"/>
              </w:rPr>
              <w:t>27</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45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primary method for funding operations and growth has been through cash flows generated from operating activities. Net cash provided by operating activities increased to $60.4 million during the quarter ended December 31, 2019 from $48.9 million during the quarter ended December 31, 2018. The $11.5 million increase was primarily attributable to a $14.9 million increase in net income, partially offset by a $4.2 million decrease that resulted from timing of receipts and payments in our ordinary course of business.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cash used in investing activities increased to $9.0 million for the quarter ended December 31, 2019 from $8.7 million for the quarter ended December 31, 2018. The $0.3 million increase was primarily attributable to a $0.4 million increase in purchases of marketable securities.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 cash used in financing activities decreased to $48.2 million for the quarter ended December 31, 2019 from $50.1 million for the quarter ended December 31, 2018. The $1.9 million decrease was primarily attributable to a $350.0 million increase in proceeds from issuance of senior notes and a $22.7 million decrease in repurchases of common stock, partially offset by a $318.0 million increase in payments, net of proceeds, on our revolving line of credit, a $43.1 million increase in taxes paid related to net share settlement of equity awards, a $6.8 million increase in debt issuance cost, and a $2.5 million decrease in proceeds from issuance of treasury stock under employee stock plans.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2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In July 2019, our Board of Directors approved a stock repurchase program following the completion of our previous program. This program was open-ended and authorized repurchases of shares of our common stock up to an aggregate cost of $250.0 million in the open market or in negotiated transactions.</w:t>
      </w:r>
    </w:p>
    <w:p>
      <w:pPr>
        <w:spacing w:after="0" w:line="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July 2019 program, we repurchased 168,383 shares of our common stock at a total repurchase price of $60.0 million during the quarter ended December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Line of Credit</w:t>
      </w:r>
    </w:p>
    <w:p>
      <w:pPr>
        <w:spacing w:after="0" w:line="12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have a $400 million unsecured revolving line of credit with a syndicate of banks that expires on May 8, 2023.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maximum consolidated leverage ratio of 3.25, subject to a step up to 3.75 following certain permitted acquisitions; and a minimum fixed charge ratio of 2.5 through the maturity of our 2010 Senior Notes in July 2020, upon which maintaining a minimum interest coverage ratio of 3.00. The credit agreement also contains other covenants typical of unsecured facilities. As of December 31, 2019, we had $95.0 million in borrowings outstanding at a weighted average interest rate of 2.900% and were in compliance with all financial covenants under this credit facility.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On July 14, 2010, we issued $245 million of senior notes in a private placement to a group of institutional investors (the “2010 Senior Notes”). The 2010 Senior Notes were issued in four series with maturities ranging from 6 to 10 years. The outstanding 2010 Senior Notes’ weighted average interest rate is 5.6% and the weighted average maturity is 10.0 years. The 2010 Senior Notes require interest payments semi-annually and contain certain restrictive covenants, including the maintenance of a maximum consolidated net debt to consolidated EBITDA ratio of 3.00 and a minimum fixed charge coverage ratio of 2.50. 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and with the 2010 Senior Notes and 2018 Senior Notes, the “Senior Notes”). The 2019 Senior Notes require interest payments semi-annually at a rate of 4.00% per annum and will mature on June 15, 2028. The purchase agreements for the 2010 Senior Notes, as well as the indenture for the 2018 Senior Notes and 2019 Senior Notes contain certain covenants typical of unsecured obligations. As of December 31, 2019, the carrying value of the Senior Notes was $823.3 million and we were in compliance with all financial covenants under these obligations.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do not have any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prepare our consolidated financial statements in conformity with U.S. generally accepted accounting principles.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and other intangible assets resulting from business acquisitions,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w:t>
      </w:r>
    </w:p>
    <w:p>
      <w:pPr>
        <w:spacing w:after="0" w:line="2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the following critical accounting policies involve the most significant judgments and estimates used in the preparation of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Contracts with Customers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revenue is primarily derived from term-based or perpetual licensing of software and scoring products and solutions, and associated maintenance; SaaS subscription services; scoring and credit monitoring services for consumers; and professional services. For contracts with customers that contain various combinations of products and services, we evaluate whether the products or services are distinct—distinct products or services will be accounted for as separate performance obligations, while non-distinct products or services are combined with others to form a single performance obligation. For contracts with multiple performance obligations, the transaction price is allocated to each performance obligation on a relative standalone selling price (“SSP”) basis. Revenue is recognized when control of the promised goods or services is transferred to our customers.</w:t>
      </w:r>
    </w:p>
    <w:p>
      <w:pPr>
        <w:spacing w:after="0" w:line="12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License revenue is derived from contracts in which we grant our direct customers or distributors the right to deploy or resell our software and scoring products and solutions on-premises. Our software offerings often include a perpetual or term-based license and post-contract support or maintenance, both of which generally represent distinct performance obligations and are accounted for separately. The transaction price is either in the form of a fixed consideration with separate stated prices for license and maintenance, or a usage-based royalty—sometimes subject to a guaranteed minimum—for the license and maintenance bundle. When the amount is in the form of a fixed consideration, including the guaranteed minimum in usage-based royalty, license revenue from distinct on-premises license is recognized at the point in time when the software or scoring solution is made available to the customer or distributor. Any royalties not subject to the guaranteed minimum or earned in excess of the minimum amount are recognized as transactional revenue when the subsequent sales or usage occurs. Revenue allocated to maintenance is generally recognized ratably over the contract period as customers simultaneously consume and receive benefits.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In addition to usage-based royalty on our software and scoring products, transactional revenue is also derived from SaaS contracts in which we provide customers with access to and standard support for our software application either in the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Analytic Cloud or AWS, our primary cloud infrastructure provider, on a subscription basis. The transaction price typically includes a fixed consideration in the form of a guaranteed minimum that allows up to a certain level of usage and a variable consideration in the form of usage or transaction-based fees in excess of the minimum threshold; or usage or transaction-based variable amount not subject to a minimum threshold. We determined the nature of our SaaS arrangements is to provide continuous access to our hosted application in the cloud, i.e., a stand-ready obligation that comprises a series of distinct service periods (e.g., a series of distinct daily, monthly or annual periods of service). We estimate the total variable consideration at contract inception—subject to any constraints that may apply—and update the estimates as new information becomes available and recognize the amount ratably over the SaaS service period, unless we determine it is appropriate to allocate the variable amount to each distinct service period and recognize revenue in the period during which it is earned.</w:t>
      </w:r>
    </w:p>
    <w:p>
      <w:pPr>
        <w:spacing w:after="0" w:line="12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derive transactional revenue from credit scoring and monitoring services that provide consumers access to their credit reports and enable them to monitor their credit. These are provided as either a one-time or ongoing subscription service renewed monthly or annually, all with a fixed consideration. We determined the nature of the subscription service is a stand-ready obligation to generate credit reports, provide credit monitoring and other services for our customers, which comprises a series of distinct service periods (e.g., a series of distinct daily, monthly or annual periods of service). Revenue from one-time or monthly subscription services is recognized during the period when service is performed. Revenue from annual subscription services is recognized ratably over the subscription period.</w:t>
      </w:r>
    </w:p>
    <w:p>
      <w:pPr>
        <w:spacing w:after="0" w:line="13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Professional services include software or SaaS implementation, consulting, model development, training services and premium cloud support. They are sold either standalone, or together with other products or services and generally represent distinct performance obligations. The transaction price can be a fixed amount or on a time and materials basis. Revenue on fixed-price services is recognized using an input method based on labor hours expended which we believe provides a faithful depiction of the transfer of services. Revenue on services provided on a time and materials basis is recognized applying the “right-to-invoice” practical expedient as the amount to which we have a right to invoice the customer corresponds directly with the value of our performance to the customer. In addition, we sell premium cloud support on a subscription basis for a fixed amount, and revenue is recognized ratably over the contract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Accounting for our acquisitions requires us to recognize, separately from goodwill, the assets acquired and the liabilities assumed at their acquisition-date fair values. Goodwill as of the acquisition date is measured as the excess of consideration transferred and the net of the acquisition-date fair values of the assets acquired and the liabilities assumed.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and comprehensive income.</w:t>
      </w:r>
    </w:p>
    <w:p>
      <w:pPr>
        <w:spacing w:after="0" w:line="12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If we cannot reasonably determine the fair value of a pre-acquisition contingency (non-income tax related) by the end of the measurement period, we will recognize an asset or a liability for such pre-acquisition contingency if: (i) it is probable that an asset existed or a liability had been incurred at the acquisition date and (ii) the amount of the asset or liability can be reasonably estimated. Although we believe the assumptions and estimates we have made in the past have been reasonable and appropriate, they are based in part on historical experience and information obtained from the management of the acquired companies and are inherently uncertain. Subsequent to the measurement period, changes in our estimates of such contingencies will affect earnings and could have a material effect on our consolidated results of operations and financial position.</w:t>
      </w:r>
    </w:p>
    <w:p>
      <w:pPr>
        <w:spacing w:after="0" w:line="12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Examples of critical estimates in valuing certain of the intangible assets we have acquired include but are not limited to: (i) future expected cash flows from software license sales, support agreements, consulting contracts, other customer contracts and acquired developed technologies and patents; (ii) expected costs to develop the in-process research and development into commercially viable products and estimated cash flows from the projects when completed; and</w:t>
      </w:r>
    </w:p>
    <w:p>
      <w:pPr>
        <w:jc w:val="both"/>
        <w:ind w:firstLine="8"/>
        <w:spacing w:after="0" w:line="253" w:lineRule="auto"/>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as well as assumptions about the period of time the acquired brand will continue to be used in the combined company’s product portfolio. Unanticipated events and circumstances may occur that may affect the accuracy or validity of such assumptions, estimates or actual results. Historically, there have been no significant changes in our estimates or assumptions. To the extent a significant acquisition is made during a fiscal year, as appropriate we will expand the discussion to include specific assumptions and inputs used to determine the fair value of our acquired intangible assets.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uncertain tax positions and tax-related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provided that we are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statements of income and comprehensive income and could have a material impact on our consolidated results of operations and financial position. Historically, there have been no significant changes in our valuation allowances or uncertain tax positions as it relates to business combinations. We do not believe there is a reasonable likelihood there will be a material change in the future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Acquisition Intangibles and Other Long-Lived Assets - Impairment Assessment</w:t>
      </w:r>
    </w:p>
    <w:p>
      <w:pPr>
        <w:spacing w:after="0" w:line="9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Goodwill represents the excess of cost over the fair value of identifiable assets acquired and liabilities assumed in business combinations. We assess goodwill for impairment for each of our reporting units on an annual basis during the fourth quarter using a July 1 measurement date unless circumstances require a more frequent measurement. We have determined that our reporting units are the same as our reportable segments.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the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Using assumptions that are different from those used in our estimates, but in each case reasonable, could produce significantly different results and materially affect the determination of fair value and/or goodwill impairment for each reporting unit. For example, if the economic environment impacts our forecasts beyond what we have anticipated, it could cause the fair value of a reporting unit to fall below its respective carrying value.</w:t>
      </w:r>
    </w:p>
    <w:p>
      <w:pPr>
        <w:spacing w:after="0" w:line="12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For fiscal 2017, we elected to proceed directly to the step one quantitative analysis for all of our reporting units, as three years had elapsed since the date of our previous quantitative valuation. There was a substantial excess of fair value over carrying value for each of our reporting units and we determined goodwill was not impaired for any of our reporting units for fiscal 2017. For fiscal 2018 and 2019, we performed a step zero qualitative analysis for our annual assessment of goodwill impairment. After evaluating and weighing all relevant events and circumstances, we concluded that it is not more likely than not that the fair value of any of our reporting units was less their carrying amounts. Consequently, we did not perform a step one quantitative analysis and determined goodwill was not impaired for any of our reporting units for fiscal 2018 and 2019.</w:t>
      </w:r>
    </w:p>
    <w:p>
      <w:pPr>
        <w:spacing w:after="0" w:line="12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intangible assets that have finite useful lives and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cash flows. Should different conditions prevail, material write downs of our intangible assets or other long-lived assets could occur. We review the estimated remaining useful lives of our acquired intangible assets at each reporting period. A reduction in our estimate of remaining useful lives, if any, could result in increased annual amortization expense in future periods.</w:t>
      </w:r>
    </w:p>
    <w:p>
      <w:pPr>
        <w:spacing w:after="0" w:line="11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discussed above, while we believe that the assumptions and estimates utilized were appropriate based on the information available to management, different assumptions, judgments and estimates could materially affect our impairment assessments for our goodwill, acquired intangibles with finite lives and other long-lived assets. Historically, there have been no significant changes in our estimates or assumptions that would have had a material impact for our goodwill or intangible assets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measure stock-based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the Monte Carlo valuation model to determine the fair value of our market share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Historically, there have been no material changes in our estimates or assumptions. We do not believe there is a reasonable likelihood there will be a material change in the future estimates or assumptions.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balance sheet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spacing w:after="0" w:line="11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1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accounting policies associated with tax-related contingencies and valuation allowances assumed as part of a business combination is provided under “Business Combinations”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9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various proceedings, lawsuits and claims relating to products and services, technology, labor, stockholder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 Historically, there have been no material changes in our estimates or assumptions. We do not believe there is a reasonable likelihood there will be a material change in the future estimates.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February 2016, the FASB issued Topic 842, which requires the recognition of operating lease assets and lease liabilities on the balance sheet. Leases will be classified as either finance or operating, with classification affecting the pattern of expense recognition in the income statement. Under the new standard, disclosures are required to enable users of financial statements to assess the amount, timing and uncertainty of cash flows arising from leases.</w:t>
      </w:r>
    </w:p>
    <w:p>
      <w:pPr>
        <w:spacing w:after="0" w:line="26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the first quarter of fiscal 2020, we adopted Topic 842 using the “Comparatives Under 840 Option” approach to transition. In accordance with the standard, the comparative information has not been restated and continues to be reported under the accounting standards in effect for those periods. Topic 842 provides a package of practical expedients that allow us to not reassess (1) whether any expired or existing contracts contain a lease, (2) the lease classification of any expired or existing lease, and (3) initial direct costs for any existing leases. We elected to apply the package of practical expedients, and did not elect the hindsight practical expedient in determining the lease term for existing leases as of October 1, 2019.</w:t>
      </w:r>
    </w:p>
    <w:p>
      <w:pPr>
        <w:spacing w:after="0" w:line="2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Adoption of Topic 842 did not result in the recognition of a cumulative-effect adjustment to the opening balance of retained earnings in the period of adoption. The most significant impact of adoption was the recognition of operating lease assets and operating lease liabilities of $89.8 million and $98.9 million, respectively, while our accounting for existing capital leases (now referred to as finance leases) remained substantially unchanged. We expect the impact of adoption to be immaterial to our consolidated statements of income and comprehensive income and consolidated statements of cash flows on an ongoing basis. As part of our adoption, we also modified our control procedures and processes, none of which materially affected our internal control over financial reporting. See Note 14 to the accompanying condensed consolidated financial statements for additional information regarding our accounting policy for leases and additional disclosures.</w:t>
      </w: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August 2018, the FASB issued ASU No. 2018-15, “</w:t>
      </w:r>
      <w:r>
        <w:rPr>
          <w:rFonts w:ascii="Arial" w:cs="Arial" w:eastAsia="Arial" w:hAnsi="Arial"/>
          <w:sz w:val="17"/>
          <w:szCs w:val="17"/>
          <w:i w:val="1"/>
          <w:iCs w:val="1"/>
          <w:color w:val="auto"/>
        </w:rPr>
        <w:t>Intangibles—Goodwill and Other (Topic 350): Internal-Use Software.</w:t>
      </w:r>
      <w:r>
        <w:rPr>
          <w:rFonts w:ascii="Arial" w:cs="Arial" w:eastAsia="Arial" w:hAnsi="Arial"/>
          <w:sz w:val="17"/>
          <w:szCs w:val="17"/>
          <w:color w:val="auto"/>
        </w:rPr>
        <w:t>” ASU 2018-15 aligns the requirements for capitalizing implementation costs incurred in a cloud computing arrangement that is a service contract with the requirements for capitalizing implementation costs incurred to develop or obtain internal-use software. The standard is effective for fiscal years and interim periods within those fiscal years beginning after December 15, 2019, which means that it will be effective for our fiscal year beginning October 1, 2020. Early adoption is permitted. We are currently evaluating the impact of our pending adoption of ASU 2018-15 on our consolidated financial statements.</w:t>
      </w:r>
    </w:p>
    <w:p>
      <w:pPr>
        <w:spacing w:after="0" w:line="11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and subsequent amendments to the initial guidance: ASU 2018-19, ASU 2019-04, ASU 2019-05 and ASU 2019-11 (collectively, “Topic 326”).</w:t>
      </w:r>
      <w:r>
        <w:rPr>
          <w:rFonts w:ascii="Arial" w:cs="Arial" w:eastAsia="Arial" w:hAnsi="Arial"/>
          <w:sz w:val="16"/>
          <w:szCs w:val="16"/>
          <w:i w:val="1"/>
          <w:iCs w:val="1"/>
          <w:color w:val="auto"/>
        </w:rPr>
        <w:t xml:space="preserve"> </w:t>
      </w:r>
      <w:r>
        <w:rPr>
          <w:rFonts w:ascii="Arial" w:cs="Arial" w:eastAsia="Arial" w:hAnsi="Arial"/>
          <w:sz w:val="16"/>
          <w:szCs w:val="16"/>
          <w:color w:val="auto"/>
        </w:rPr>
        <w:t>Topic 326 requires measurement and recognition of expected credit losses for financial assets held. Topic 326 is effective for fiscal years and interim periods within those fiscal years beginning after December 15, 2019, which means it will be effective for our fiscal year beginning October 1, 2020. Early adoption is permitted. We are currently evaluating the impact of our pending adoption of Topic 326 on our consolidated financial statements.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expect that any other recently issued accounting pronouncements will have a significant effect on our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exposed to market risk related to changes in interest rates and foreign exchange rates. We do not use derivative financial instruments for speculative or trading purposes.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December 31, 2019 and September 30,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w w:val="93"/>
              </w:rPr>
              <w:t>December 31, 2019</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w w:val="93"/>
              </w:rPr>
              <w:t>September 30, 2019</w:t>
            </w:r>
          </w:p>
        </w:tc>
        <w:tc>
          <w:tcPr>
            <w:tcW w:w="1380" w:type="dxa"/>
            <w:vAlign w:val="bottom"/>
            <w:tcBorders>
              <w:bottom w:val="single" w:sz="8" w:color="auto"/>
            </w:tcBorders>
          </w:tcPr>
          <w:p>
            <w:pPr>
              <w:spacing w:after="0"/>
              <w:rPr>
                <w:sz w:val="16"/>
                <w:szCs w:val="16"/>
                <w:color w:val="auto"/>
              </w:rPr>
            </w:pPr>
          </w:p>
        </w:tc>
      </w:tr>
      <w:tr>
        <w:trPr>
          <w:trHeight w:val="152"/>
        </w:trPr>
        <w:tc>
          <w:tcPr>
            <w:tcW w:w="1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ind w:left="240"/>
              <w:spacing w:after="0" w:line="153" w:lineRule="exact"/>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3"/>
                <w:szCs w:val="13"/>
                <w:color w:val="auto"/>
              </w:rPr>
            </w:pPr>
          </w:p>
        </w:tc>
        <w:tc>
          <w:tcPr>
            <w:tcW w:w="1560" w:type="dxa"/>
            <w:vAlign w:val="bottom"/>
          </w:tcPr>
          <w:p>
            <w:pPr>
              <w:jc w:val="center"/>
              <w:ind w:right="324"/>
              <w:spacing w:after="0" w:line="153" w:lineRule="exact"/>
              <w:rPr>
                <w:sz w:val="20"/>
                <w:szCs w:val="20"/>
                <w:color w:val="auto"/>
              </w:rPr>
            </w:pPr>
            <w:r>
              <w:rPr>
                <w:rFonts w:ascii="Arial" w:cs="Arial" w:eastAsia="Arial" w:hAnsi="Arial"/>
                <w:sz w:val="14"/>
                <w:szCs w:val="14"/>
                <w:b w:val="1"/>
                <w:bCs w:val="1"/>
                <w:color w:val="auto"/>
                <w:w w:val="97"/>
              </w:rPr>
              <w:t>Carrying</w:t>
            </w:r>
          </w:p>
        </w:tc>
        <w:tc>
          <w:tcPr>
            <w:tcW w:w="1840" w:type="dxa"/>
            <w:vAlign w:val="bottom"/>
            <w:gridSpan w:val="3"/>
          </w:tcPr>
          <w:p>
            <w:pPr>
              <w:jc w:val="center"/>
              <w:ind w:right="620"/>
              <w:spacing w:after="0" w:line="153"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ind w:left="240"/>
              <w:spacing w:after="0" w:line="153" w:lineRule="exact"/>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3"/>
                <w:szCs w:val="13"/>
                <w:color w:val="auto"/>
              </w:rPr>
            </w:pPr>
          </w:p>
        </w:tc>
        <w:tc>
          <w:tcPr>
            <w:tcW w:w="1580" w:type="dxa"/>
            <w:vAlign w:val="bottom"/>
          </w:tcPr>
          <w:p>
            <w:pPr>
              <w:jc w:val="center"/>
              <w:ind w:right="344"/>
              <w:spacing w:after="0" w:line="153" w:lineRule="exact"/>
              <w:rPr>
                <w:sz w:val="20"/>
                <w:szCs w:val="20"/>
                <w:color w:val="auto"/>
              </w:rPr>
            </w:pPr>
            <w:r>
              <w:rPr>
                <w:rFonts w:ascii="Arial" w:cs="Arial" w:eastAsia="Arial" w:hAnsi="Arial"/>
                <w:sz w:val="14"/>
                <w:szCs w:val="14"/>
                <w:b w:val="1"/>
                <w:bCs w:val="1"/>
                <w:color w:val="auto"/>
                <w:w w:val="97"/>
              </w:rPr>
              <w:t>Carrying</w:t>
            </w:r>
          </w:p>
        </w:tc>
        <w:tc>
          <w:tcPr>
            <w:tcW w:w="138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0"/>
              </w:rPr>
              <w:t>Average</w:t>
            </w:r>
          </w:p>
        </w:tc>
      </w:tr>
      <w:tr>
        <w:trPr>
          <w:trHeight w:val="192"/>
        </w:trPr>
        <w:tc>
          <w:tcPr>
            <w:tcW w:w="1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Basis</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344"/>
              <w:spacing w:after="0"/>
              <w:rPr>
                <w:sz w:val="20"/>
                <w:szCs w:val="20"/>
                <w:color w:val="auto"/>
              </w:rPr>
            </w:pPr>
            <w:r>
              <w:rPr>
                <w:rFonts w:ascii="Arial" w:cs="Arial" w:eastAsia="Arial" w:hAnsi="Arial"/>
                <w:sz w:val="14"/>
                <w:szCs w:val="14"/>
                <w:b w:val="1"/>
                <w:bCs w:val="1"/>
                <w:color w:val="auto"/>
                <w:w w:val="94"/>
              </w:rPr>
              <w:t>Amount</w:t>
            </w:r>
          </w:p>
        </w:tc>
        <w:tc>
          <w:tcPr>
            <w:tcW w:w="184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5"/>
              </w:rPr>
              <w:t>Yield</w:t>
            </w: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Basis</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94"/>
              </w:rPr>
              <w:t>Amount</w:t>
            </w:r>
          </w:p>
        </w:tc>
        <w:tc>
          <w:tcPr>
            <w:tcW w:w="13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Yield</w:t>
            </w:r>
          </w:p>
        </w:tc>
      </w:tr>
      <w:tr>
        <w:trPr>
          <w:trHeight w:val="196"/>
        </w:trPr>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980" w:type="dxa"/>
            <w:vAlign w:val="bottom"/>
            <w:gridSpan w:val="4"/>
          </w:tcPr>
          <w:p>
            <w:pPr>
              <w:jc w:val="right"/>
              <w:ind w:right="762"/>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5"/>
        </w:trPr>
        <w:tc>
          <w:tcPr>
            <w:tcW w:w="1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1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111,216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111,216</w:t>
            </w:r>
          </w:p>
        </w:tc>
        <w:tc>
          <w:tcPr>
            <w:tcW w:w="1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0.52%  $</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106,426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106,426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7"/>
        </w:trPr>
        <w:tc>
          <w:tcPr>
            <w:tcW w:w="1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On July 14, 2010, we issued $245 million of senior notes in a private placement to a group of institutional investors (the “2010 Senior Notes”). On May 8, 2018, we issued $400 million of senior notes in a private placement to a group of institutional investors (the “2018 Senior Notes”). On December 6, 2019, we issued $350 million of senior notes in a private offering to qualified institutional investors (the “2019 Senior Notes”, and with the 2010 Senior Notes and 2018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Capital Resources and Liquidity” for additional information on the Senior Notes. The following table presents the carrying amounts and fair values for the Senior Notes at December 31, 2019 and September 30,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Face</w:t>
            </w:r>
          </w:p>
        </w:tc>
        <w:tc>
          <w:tcPr>
            <w:tcW w:w="28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3"/>
                <w:szCs w:val="13"/>
                <w:color w:val="auto"/>
              </w:rPr>
            </w:pPr>
          </w:p>
        </w:tc>
        <w:tc>
          <w:tcPr>
            <w:tcW w:w="116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w w:val="87"/>
              </w:rPr>
              <w:t>Face</w:t>
            </w:r>
          </w:p>
        </w:tc>
        <w:tc>
          <w:tcPr>
            <w:tcW w:w="280" w:type="dxa"/>
            <w:vAlign w:val="bottom"/>
          </w:tcPr>
          <w:p>
            <w:pPr>
              <w:spacing w:after="0"/>
              <w:rPr>
                <w:sz w:val="13"/>
                <w:szCs w:val="13"/>
                <w:color w:val="auto"/>
              </w:rPr>
            </w:pPr>
          </w:p>
        </w:tc>
        <w:tc>
          <w:tcPr>
            <w:tcW w:w="12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6"/>
              </w:rPr>
              <w:t>Value (*)</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9"/>
              </w:rPr>
              <w:t>Value (*)</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2010 Senior Notes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85,892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86,121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The 2018 Senior Notes</w:t>
            </w:r>
          </w:p>
        </w:tc>
        <w:tc>
          <w:tcPr>
            <w:tcW w:w="30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442,000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428,000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2019 Senior Notes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353,937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835,000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881,829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485,000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514,121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13"/>
        <w:spacing w:after="0" w:line="277" w:lineRule="auto"/>
        <w:tabs>
          <w:tab w:leader="none" w:pos="669" w:val="left"/>
        </w:tabs>
        <w:numPr>
          <w:ilvl w:val="0"/>
          <w:numId w:val="20"/>
        </w:numPr>
        <w:rPr>
          <w:rFonts w:ascii="Arial" w:cs="Arial" w:eastAsia="Arial" w:hAnsi="Arial"/>
          <w:sz w:val="16"/>
          <w:szCs w:val="16"/>
          <w:color w:val="auto"/>
        </w:rPr>
      </w:pPr>
      <w:r>
        <w:rPr>
          <w:rFonts w:ascii="Arial" w:cs="Arial" w:eastAsia="Arial" w:hAnsi="Arial"/>
          <w:sz w:val="18"/>
          <w:szCs w:val="18"/>
          <w:color w:val="auto"/>
        </w:rPr>
        <w:t>Carrying value of the Senior Notes was reduced by the net debt issuance costs of $11.7 million and $5.2 million at December 31, 2019 and September 30, 2019, respectively.</w:t>
      </w:r>
    </w:p>
    <w:p>
      <w:pPr>
        <w:spacing w:after="0" w:line="17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a $400 million unsecured revolving line of credit with a syndicate of banks that expires on May 8, 2023.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A change in interest rates on this variable rate debt impacts the interest incurred and cash flows, but does not impact the fair value of the instrument. We had $95.0 million in borrowings outstanding at a weighted average interest rate of 2.900% under the credit facility as of December 31, 2019.</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December 31, 2019 and September 30, 2019:</w:t>
      </w:r>
    </w:p>
    <w:p>
      <w:pPr>
        <w:spacing w:after="0" w:line="174"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3" w:lineRule="exact"/>
        <w:rPr>
          <w:sz w:val="20"/>
          <w:szCs w:val="20"/>
          <w:color w:val="auto"/>
        </w:rPr>
      </w:pPr>
    </w:p>
    <w:tbl>
      <w:tblPr>
        <w:tblLayout w:type="fixed"/>
        <w:tblInd w:w="6060" w:type="dxa"/>
        <w:tblCellMar>
          <w:top w:w="0" w:type="dxa"/>
          <w:left w:w="0" w:type="dxa"/>
          <w:bottom w:w="0" w:type="dxa"/>
          <w:right w:w="0" w:type="dxa"/>
        </w:tblCellMar>
      </w:tblPr>
      <w:tr>
        <w:trPr>
          <w:trHeight w:val="192"/>
        </w:trPr>
        <w:tc>
          <w:tcPr>
            <w:tcW w:w="268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Contract Amount</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2680" w:type="dxa"/>
            <w:vAlign w:val="bottom"/>
          </w:tcPr>
          <w:p>
            <w:pPr>
              <w:jc w:val="center"/>
              <w:ind w:right="408"/>
              <w:spacing w:after="0" w:line="153" w:lineRule="exact"/>
              <w:rPr>
                <w:sz w:val="20"/>
                <w:szCs w:val="20"/>
                <w:color w:val="auto"/>
              </w:rPr>
            </w:pPr>
            <w:r>
              <w:rPr>
                <w:rFonts w:ascii="Arial" w:cs="Arial" w:eastAsia="Arial" w:hAnsi="Arial"/>
                <w:sz w:val="14"/>
                <w:szCs w:val="14"/>
                <w:b w:val="1"/>
                <w:bCs w:val="1"/>
                <w:color w:val="auto"/>
                <w:w w:val="93"/>
              </w:rPr>
              <w:t>Foreign</w:t>
            </w: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US$</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186"/>
        </w:trPr>
        <w:tc>
          <w:tcPr>
            <w:tcW w:w="2680" w:type="dxa"/>
            <w:vAlign w:val="bottom"/>
          </w:tcPr>
          <w:p>
            <w:pPr>
              <w:jc w:val="center"/>
              <w:ind w:right="428"/>
              <w:spacing w:after="0"/>
              <w:rPr>
                <w:sz w:val="20"/>
                <w:szCs w:val="20"/>
                <w:color w:val="auto"/>
              </w:rPr>
            </w:pPr>
            <w:r>
              <w:rPr>
                <w:rFonts w:ascii="Arial" w:cs="Arial" w:eastAsia="Arial" w:hAnsi="Arial"/>
                <w:sz w:val="14"/>
                <w:szCs w:val="14"/>
                <w:b w:val="1"/>
                <w:bCs w:val="1"/>
                <w:color w:val="auto"/>
                <w:w w:val="94"/>
              </w:rPr>
              <w:t>Currency</w:t>
            </w:r>
          </w:p>
        </w:tc>
        <w:tc>
          <w:tcPr>
            <w:tcW w:w="120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7620</wp:posOffset>
            </wp:positionV>
            <wp:extent cx="3404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 foreign currency: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ind w:left="380"/>
              <w:spacing w:after="0"/>
              <w:rPr>
                <w:sz w:val="20"/>
                <w:szCs w:val="20"/>
                <w:color w:val="auto"/>
              </w:rPr>
            </w:pPr>
            <w:r>
              <w:rPr>
                <w:rFonts w:ascii="Arial" w:cs="Arial" w:eastAsia="Arial" w:hAnsi="Arial"/>
                <w:sz w:val="18"/>
                <w:szCs w:val="18"/>
                <w:color w:val="auto"/>
              </w:rPr>
              <w:t>Euro (EUR)</w:t>
            </w:r>
          </w:p>
        </w:tc>
        <w:tc>
          <w:tcPr>
            <w:tcW w:w="2940" w:type="dxa"/>
            <w:vAlign w:val="bottom"/>
          </w:tcPr>
          <w:p>
            <w:pPr>
              <w:ind w:left="1980"/>
              <w:spacing w:after="0"/>
              <w:rPr>
                <w:sz w:val="20"/>
                <w:szCs w:val="20"/>
                <w:color w:val="auto"/>
              </w:rPr>
            </w:pPr>
            <w:r>
              <w:rPr>
                <w:rFonts w:ascii="Arial" w:cs="Arial" w:eastAsia="Arial" w:hAnsi="Arial"/>
                <w:sz w:val="18"/>
                <w:szCs w:val="18"/>
                <w:color w:val="auto"/>
              </w:rPr>
              <w:t>EUR</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10,000</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11,172</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foreign currency:</w:t>
            </w:r>
          </w:p>
        </w:tc>
        <w:tc>
          <w:tcPr>
            <w:tcW w:w="2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British pound (GBP)</w:t>
            </w:r>
          </w:p>
        </w:tc>
        <w:tc>
          <w:tcPr>
            <w:tcW w:w="2940" w:type="dxa"/>
            <w:vAlign w:val="bottom"/>
          </w:tcPr>
          <w:p>
            <w:pPr>
              <w:ind w:left="1980"/>
              <w:spacing w:after="0"/>
              <w:rPr>
                <w:sz w:val="20"/>
                <w:szCs w:val="20"/>
                <w:color w:val="auto"/>
              </w:rPr>
            </w:pPr>
            <w:r>
              <w:rPr>
                <w:rFonts w:ascii="Arial" w:cs="Arial" w:eastAsia="Arial" w:hAnsi="Arial"/>
                <w:sz w:val="18"/>
                <w:szCs w:val="18"/>
                <w:color w:val="auto"/>
              </w:rPr>
              <w:t>GBP</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6,277</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8,300</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Singapore dollar (SGD)</w:t>
            </w:r>
          </w:p>
        </w:tc>
        <w:tc>
          <w:tcPr>
            <w:tcW w:w="29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SGD</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5,631</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3" w:lineRule="exact"/>
        <w:rPr>
          <w:sz w:val="20"/>
          <w:szCs w:val="20"/>
          <w:color w:val="auto"/>
        </w:rPr>
      </w:pPr>
    </w:p>
    <w:tbl>
      <w:tblPr>
        <w:tblLayout w:type="fixed"/>
        <w:tblInd w:w="6060" w:type="dxa"/>
        <w:tblCellMar>
          <w:top w:w="0" w:type="dxa"/>
          <w:left w:w="0" w:type="dxa"/>
          <w:bottom w:w="0" w:type="dxa"/>
          <w:right w:w="0" w:type="dxa"/>
        </w:tblCellMar>
      </w:tblPr>
      <w:tr>
        <w:trPr>
          <w:trHeight w:val="192"/>
        </w:trPr>
        <w:tc>
          <w:tcPr>
            <w:tcW w:w="268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Contract Amount</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2680" w:type="dxa"/>
            <w:vAlign w:val="bottom"/>
          </w:tcPr>
          <w:p>
            <w:pPr>
              <w:jc w:val="center"/>
              <w:ind w:right="408"/>
              <w:spacing w:after="0" w:line="153" w:lineRule="exact"/>
              <w:rPr>
                <w:sz w:val="20"/>
                <w:szCs w:val="20"/>
                <w:color w:val="auto"/>
              </w:rPr>
            </w:pPr>
            <w:r>
              <w:rPr>
                <w:rFonts w:ascii="Arial" w:cs="Arial" w:eastAsia="Arial" w:hAnsi="Arial"/>
                <w:sz w:val="14"/>
                <w:szCs w:val="14"/>
                <w:b w:val="1"/>
                <w:bCs w:val="1"/>
                <w:color w:val="auto"/>
                <w:w w:val="93"/>
              </w:rPr>
              <w:t>Foreign</w:t>
            </w: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US$</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186"/>
        </w:trPr>
        <w:tc>
          <w:tcPr>
            <w:tcW w:w="2680" w:type="dxa"/>
            <w:vAlign w:val="bottom"/>
          </w:tcPr>
          <w:p>
            <w:pPr>
              <w:jc w:val="center"/>
              <w:ind w:right="428"/>
              <w:spacing w:after="0"/>
              <w:rPr>
                <w:sz w:val="20"/>
                <w:szCs w:val="20"/>
                <w:color w:val="auto"/>
              </w:rPr>
            </w:pPr>
            <w:r>
              <w:rPr>
                <w:rFonts w:ascii="Arial" w:cs="Arial" w:eastAsia="Arial" w:hAnsi="Arial"/>
                <w:sz w:val="14"/>
                <w:szCs w:val="14"/>
                <w:b w:val="1"/>
                <w:bCs w:val="1"/>
                <w:color w:val="auto"/>
                <w:w w:val="94"/>
              </w:rPr>
              <w:t>Currency</w:t>
            </w:r>
          </w:p>
        </w:tc>
        <w:tc>
          <w:tcPr>
            <w:tcW w:w="120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7620</wp:posOffset>
            </wp:positionV>
            <wp:extent cx="3404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 foreign currency: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ind w:left="380"/>
              <w:spacing w:after="0"/>
              <w:rPr>
                <w:sz w:val="20"/>
                <w:szCs w:val="20"/>
                <w:color w:val="auto"/>
              </w:rPr>
            </w:pPr>
            <w:r>
              <w:rPr>
                <w:rFonts w:ascii="Arial" w:cs="Arial" w:eastAsia="Arial" w:hAnsi="Arial"/>
                <w:sz w:val="18"/>
                <w:szCs w:val="18"/>
                <w:color w:val="auto"/>
              </w:rPr>
              <w:t>Euro (EUR)</w:t>
            </w:r>
          </w:p>
        </w:tc>
        <w:tc>
          <w:tcPr>
            <w:tcW w:w="2940" w:type="dxa"/>
            <w:vAlign w:val="bottom"/>
          </w:tcPr>
          <w:p>
            <w:pPr>
              <w:ind w:left="1980"/>
              <w:spacing w:after="0"/>
              <w:rPr>
                <w:sz w:val="20"/>
                <w:szCs w:val="20"/>
                <w:color w:val="auto"/>
              </w:rPr>
            </w:pPr>
            <w:r>
              <w:rPr>
                <w:rFonts w:ascii="Arial" w:cs="Arial" w:eastAsia="Arial" w:hAnsi="Arial"/>
                <w:sz w:val="18"/>
                <w:szCs w:val="18"/>
                <w:color w:val="auto"/>
              </w:rPr>
              <w:t>EUR</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10,800</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11,723</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foreign currency:</w:t>
            </w:r>
          </w:p>
        </w:tc>
        <w:tc>
          <w:tcPr>
            <w:tcW w:w="2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British pound (GBP)</w:t>
            </w:r>
          </w:p>
        </w:tc>
        <w:tc>
          <w:tcPr>
            <w:tcW w:w="2940" w:type="dxa"/>
            <w:vAlign w:val="bottom"/>
          </w:tcPr>
          <w:p>
            <w:pPr>
              <w:ind w:left="1980"/>
              <w:spacing w:after="0"/>
              <w:rPr>
                <w:sz w:val="20"/>
                <w:szCs w:val="20"/>
                <w:color w:val="auto"/>
              </w:rPr>
            </w:pPr>
            <w:r>
              <w:rPr>
                <w:rFonts w:ascii="Arial" w:cs="Arial" w:eastAsia="Arial" w:hAnsi="Arial"/>
                <w:sz w:val="18"/>
                <w:szCs w:val="18"/>
                <w:color w:val="auto"/>
              </w:rPr>
              <w:t>GBP</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5,200</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6,400</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Singapore dollar (SGD)</w:t>
            </w:r>
          </w:p>
        </w:tc>
        <w:tc>
          <w:tcPr>
            <w:tcW w:w="29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SGD</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5,798</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foreign currency forward contracts were entered into on December 31, 2019 and September 30, 2019, respectively; therefore, their fair value was $0 on each of these 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FICO’s management, including the Chief Executive Officer and Chief Financial Officer,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Chief Executive Officer and Chief Financial Officer have concluded that FICO’s disclosure controls and procedures are effective to ensure that information required to be disclosed by FICO in reports that it files or submits under the Exchange Act is (i) recorded, processed, summarized and reported within the time periods specified in SEC rules and forms and (ii) accumulated and communicated to the Chief Executive Officer and Chief Financial Officer to allow timely decisions regarding required disclosure.</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No change in FICO’s internal control over financial reporting was identified in connection with the evaluation required by Rules13a-15 or 15d-15 of the Exchange Act that occurred during the period covered by this quarterly report and that has materially affected, or is reasonably likely to materially affect, our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1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continue to expand the pursuit of our Decision Management strategy, and we may not be successful, which could cause our growth prospects and results of operations to suffer.</w:t>
      </w:r>
    </w:p>
    <w:p>
      <w:pPr>
        <w:spacing w:after="0" w:line="170"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We continue to expand the pursuit of our business objective to become a leader in helping businesses automate and improve decisions across their enterprises, an approach that we commonly refer to as Decision Management, or “DM.” Our DM strategy is designed to enable us to increase our business by selling multiple products to clients, as well as to enable the development of custom client solutions that may lead to opportunities to develop new proprietary scores or other new proprietary products. Our DM strategy is also increasingly focused on the delivery of our products through cloud-based deployments. The market may be unreceptive to our general DM business approach, including being unreceptive to purchasing multiple products from us, unreceptive to our customized solutions, or unreceptive to our cloud-based offerings. As we continue to pursue our DM strategy, we may experience volatility in our revenues and operating results caused by various factors, including differences in revenue recognition treatment between our cloud-based offerings and on-premise software licenses, the timing of investments and other expenditures necessary to develop and operate our cloud-based offerings, and the adoption of new sales and delivery methods. If our DM strategy is not successful, we may not be able to grow our business, growth may occur more slowly than we anticipate, or our revenues and profits may decline.</w:t>
      </w:r>
    </w:p>
    <w:p>
      <w:pPr>
        <w:spacing w:after="0" w:line="17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revenues from a small number of products and services, and if the market does not continue to accept these products and services, our revenues will decline.</w:t>
      </w:r>
    </w:p>
    <w:p>
      <w:pPr>
        <w:spacing w:after="0" w:line="17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We expect that revenues derived from our scoring solutions, fraud solutions, customer communication services, customer management solutions and decision management software will continue to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spacing w:after="0" w:line="18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business analytics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obtain or use key data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saturation or contraction of market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industry consolidation;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successfully adopt cloud-based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execute our selling approach;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successfully sell our products in new vertical markets.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unable to access new markets or develop new distribution channels, our business and growth prospects could suffer.</w:t>
      </w:r>
    </w:p>
    <w:p>
      <w:pPr>
        <w:spacing w:after="0" w:line="22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expect that part of the growth that we seek to achieve through our DM strategy will be derived from the sale of DM products and service solutions in industries and markets we do not currently serve. We also expect to grow our business by delivering our DM solutions through additional distribution channels. If we fail to penetrate these industries and markets to the degree we anticipate utilizing our DM strategy, or if we fail to develop additional distribution channels, we may not be able to grow our business, growth may occur more slowly than we anticipate, or our revenues and profits may decline.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right="240"/>
        <w:spacing w:after="0" w:line="277" w:lineRule="auto"/>
        <w:rPr>
          <w:sz w:val="20"/>
          <w:szCs w:val="20"/>
          <w:color w:val="auto"/>
        </w:rPr>
      </w:pPr>
      <w:r>
        <w:rPr>
          <w:rFonts w:ascii="Arial" w:cs="Arial" w:eastAsia="Arial" w:hAnsi="Arial"/>
          <w:sz w:val="18"/>
          <w:szCs w:val="18"/>
          <w:b w:val="1"/>
          <w:bCs w:val="1"/>
          <w:i w:val="1"/>
          <w:iCs w:val="1"/>
          <w:color w:val="auto"/>
        </w:rPr>
        <w:t>If we are unable to develop successful new products or if we experience defects, failures and delays associated with the introduction of new products, our business could suffer serious harm.</w:t>
      </w:r>
    </w:p>
    <w:p>
      <w:pPr>
        <w:spacing w:after="0" w:line="170"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Our growth and the success of our DM strategy depend upon our ability to develop and sell new products or suites of products, including the development and sale of our cloud-based product offerings. If we are unable to develop new products, or if we are not successful in introducing new products, we may not be able to grow our business or growth may occur more slowly than we anticipate. In addition, 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operating environments or certain client or other systems. We have also experienced errors or “bugs” in our software products, despite testing prior to release of the products. Software errors in our products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rejection of our products, damage to our reputation, loss of revenues, diversion of development resources, an increase in product liability claims, and increases in service and support costs and warranty claims.</w:t>
      </w:r>
    </w:p>
    <w:p>
      <w:pPr>
        <w:spacing w:after="0" w:line="183" w:lineRule="exact"/>
        <w:rPr>
          <w:sz w:val="20"/>
          <w:szCs w:val="20"/>
          <w:color w:val="auto"/>
        </w:rPr>
      </w:pPr>
    </w:p>
    <w:p>
      <w:pPr>
        <w:jc w:val="both"/>
        <w:ind w:left="180"/>
        <w:spacing w:after="0" w:line="327" w:lineRule="auto"/>
        <w:rPr>
          <w:sz w:val="20"/>
          <w:szCs w:val="20"/>
          <w:color w:val="auto"/>
        </w:rPr>
      </w:pPr>
      <w:r>
        <w:rPr>
          <w:rFonts w:ascii="Arial" w:cs="Arial" w:eastAsia="Arial" w:hAnsi="Arial"/>
          <w:sz w:val="15"/>
          <w:szCs w:val="15"/>
          <w:b w:val="1"/>
          <w:bCs w:val="1"/>
          <w:i w:val="1"/>
          <w:iCs w:val="1"/>
          <w:color w:val="auto"/>
        </w:rPr>
        <w:t>We rely on relatively few customers, as well as our contracts with the three major credit reporting agencies, for a significant portion of our revenues and profits. Many of our customers are significantly larger than we are and may have greater bargaining power. The businesses of our largest customers depend, in large part, on favorable macroeconomic conditions. If these customers are negatively impacted by weak global economic conditions, global economic volatility or the terms of these relationships otherwise change, our revenues and operating results could decline.</w:t>
      </w:r>
    </w:p>
    <w:p>
      <w:pPr>
        <w:spacing w:after="0" w:line="14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Most of our customers are relatively large enterprises, such as banks, payment card processors, insurance companies, healthcare firms, telecommunications providers, retailers and public agencies. As a result, many of our customers and potential customers are significantly larger than we are and may have sufficient bargaining power to demand reduced prices and favorable nonstandard terms.</w:t>
      </w:r>
    </w:p>
    <w:p>
      <w:pPr>
        <w:spacing w:after="0" w:line="181"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In addition, the U.S. and other key international economies have experienced in the past a downturn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 European Union (“E.U.”) continues to face great economic uncertainty which could impact the overall world economy or various other regional economies. The potential for economic disruption presents considerable risks to our business, including potential bankruptcies or credit deterioration of financial institutions with which we have substantial relationships. Such disruption could result in a decline in the volume of transactions that we execute for our customers.</w:t>
      </w:r>
    </w:p>
    <w:p>
      <w:pPr>
        <w:spacing w:after="0" w:line="17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6"/>
          <w:szCs w:val="16"/>
          <w:color w:val="auto"/>
        </w:rPr>
        <w:t>We also derive a substantial portion of our revenues and operating income from our contracts with the three major credit reporting agencies, Experian, TransUnion and Equifax, and other parties that distribute our products to certain markets. The loss of or a significant change in a relationship with one of these credit reporting agencies with respect to their distribution of our products or with respect to our myFICO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offerings, the loss of or a significant change in a relationship with a major customer, the loss of or a significant change in a relationship with a significant third-party distributor (including payment card processors), or the delay of significant revenues from these sources, could have a material adverse effect on our revenues and results of operations.</w:t>
      </w:r>
    </w:p>
    <w:p>
      <w:pPr>
        <w:spacing w:after="0" w:line="180" w:lineRule="exact"/>
        <w:rPr>
          <w:sz w:val="20"/>
          <w:szCs w:val="20"/>
          <w:color w:val="auto"/>
        </w:rPr>
      </w:pPr>
    </w:p>
    <w:p>
      <w:pPr>
        <w:ind w:left="180" w:right="500"/>
        <w:spacing w:after="0" w:line="277" w:lineRule="auto"/>
        <w:rPr>
          <w:sz w:val="20"/>
          <w:szCs w:val="20"/>
          <w:color w:val="auto"/>
        </w:rPr>
      </w:pPr>
      <w:r>
        <w:rPr>
          <w:rFonts w:ascii="Arial" w:cs="Arial" w:eastAsia="Arial" w:hAnsi="Arial"/>
          <w:sz w:val="18"/>
          <w:szCs w:val="18"/>
          <w:b w:val="1"/>
          <w:bCs w:val="1"/>
          <w:i w:val="1"/>
          <w:iCs w:val="1"/>
          <w:color w:val="auto"/>
        </w:rPr>
        <w:t>We rely on relationships with third parties for marketing, distribution and certain services. If we experience difficulties in these relationships, our future revenues may be adversely affected.</w:t>
      </w:r>
    </w:p>
    <w:p>
      <w:pPr>
        <w:spacing w:after="0" w:line="170"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Most of our products rely on distributors, and we intend to continue to market and distribute our products through existing and future distributor relationships. Our Scores segment relies on, among others, Experian, TransUnion and Equifax. Failure of our existing and future distributors to generate significant revenues or otherwise perform their expected services or functions, demands by such distributors to change the terms on which they offer our products, or our failure to establish additional distribution or sales and marketing alliances, could have a material adverse effect on our business, operating results and financial condition. In addition, certain of our distributors presently compete with us and may compete with us in the future, either by developing competitive products themselves or by distributing competitive offerings. For example, Experian, TransUnion and Equifax have developed a credit scoring product to compete directly with our products and are collectively attempting to sell the product. Competition from distributors or other sales and marketing partners could significantly harm sales of our products and services.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acquisition and divestiture activities may disrupt our ongoing business and may involve increased expenses, and we may not realize the financial and strategic goals contemplated at the time of a transaction.</w:t>
      </w:r>
    </w:p>
    <w:p>
      <w:pPr>
        <w:spacing w:after="0" w:line="170" w:lineRule="exact"/>
        <w:rPr>
          <w:sz w:val="20"/>
          <w:szCs w:val="20"/>
          <w:color w:val="auto"/>
        </w:rPr>
      </w:pPr>
    </w:p>
    <w:p>
      <w:pPr>
        <w:ind w:firstLine="230"/>
        <w:spacing w:after="0" w:line="277" w:lineRule="auto"/>
        <w:rPr>
          <w:sz w:val="20"/>
          <w:szCs w:val="20"/>
          <w:color w:val="auto"/>
        </w:rPr>
      </w:pPr>
      <w:r>
        <w:rPr>
          <w:rFonts w:ascii="Arial" w:cs="Arial" w:eastAsia="Arial" w:hAnsi="Arial"/>
          <w:sz w:val="18"/>
          <w:szCs w:val="18"/>
          <w:color w:val="auto"/>
        </w:rPr>
        <w:t>We have acquired and expect to continue to acquire companies, businesses, products, services and technologies. Acquisitions involve significant risks and uncertainties, including:</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ongoing business may be disrupted and our management’s attention may be diverted by acquisition, transition or integration activities;</w:t>
      </w:r>
    </w:p>
    <w:p>
      <w:pPr>
        <w:spacing w:after="0" w:line="34"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not further our business strategy as we expected, we may not integrate acquired operations or technology as successfully as we expected or we may overpay for our investments, or otherwise not realize the expected return, which could adversely affect our business or operating results;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retain the key employees, customers and other business partners of the acquired operation;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difficulties entering new markets where we have no or limited direct prior experience or where competitors may have stronger market positions;</w:t>
      </w:r>
    </w:p>
    <w:p>
      <w:pPr>
        <w:jc w:val="both"/>
        <w:ind w:left="66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operating results or financial condition may be adversely impacted by claims or liabilities we assume from an acquired company, business, product or technology, including claims by government agencies, terminated employees, current or former customers, former stockholders or other third parties; pre-existing contractual relationships of an acquired company we would not have otherwise entered into; unfavorable revenue recognition or other accounting treatment as a result of an acquired company’s practices; and intellectual property claims or disputes;</w:t>
      </w:r>
    </w:p>
    <w:p>
      <w:pPr>
        <w:jc w:val="both"/>
        <w:ind w:left="66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fail to identify or assess the magnitude of certain liabilities or other circumstances prior to acquiring a company, business, product or technology, which could result in unexpected litigation or regulatory exposure, unfavorable accounting treatment, unexpected increases in taxes due, a loss of anticipated tax benefits or other adverse effects on our business, operating results or financial condition;</w:t>
      </w: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realize the anticipated increase in our revenues from an acquisition for a number of reasons, including if a larger than predicted number of customers decline to renew their contracts, if we are unable to sell the acquired products to our customer base or if contract models of an acquired company do not allow us to recognize revenues on a timely basis;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difficulty incorporating acquired technologies or products with our existing product lines and maintaining uniform standards, architecture, controls, procedures and policies;</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use of cash to pay for acquisitions may limit other potential uses of our cash, including stock repurchases, dividend payments and retirement of outstanding indebtedness;</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the extent we issue a significant amount of equity securities in connection with future acquisitions, existing stockholders may be diluted and earnings per share may decrease; and</w:t>
      </w:r>
    </w:p>
    <w:p>
      <w:pPr>
        <w:ind w:left="6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additional or unexpected changes in how we are required to account for our acquisitions pursuant to U.S. generally accepted accounting principles, including arrangements we assume from an acquisition.</w:t>
      </w:r>
    </w:p>
    <w:p>
      <w:pPr>
        <w:spacing w:after="0" w:line="184" w:lineRule="exact"/>
        <w:rPr>
          <w:sz w:val="20"/>
          <w:szCs w:val="20"/>
          <w:color w:val="auto"/>
        </w:rPr>
      </w:pPr>
    </w:p>
    <w:p>
      <w:pPr>
        <w:ind w:firstLine="230"/>
        <w:spacing w:after="0" w:line="277" w:lineRule="auto"/>
        <w:rPr>
          <w:sz w:val="20"/>
          <w:szCs w:val="20"/>
          <w:color w:val="auto"/>
        </w:rPr>
      </w:pPr>
      <w:r>
        <w:rPr>
          <w:rFonts w:ascii="Arial" w:cs="Arial" w:eastAsia="Arial" w:hAnsi="Arial"/>
          <w:sz w:val="18"/>
          <w:szCs w:val="18"/>
          <w:color w:val="auto"/>
        </w:rPr>
        <w:t>We have also divested ourselves of businesses in the past and may do so again in the future. Divestitures involve significant risks and uncertainties, including:</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of our ongoing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reductions of our revenues or earnings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liabilities, legal risks and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loss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distraction of management from our ongoing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relationships with employees and customers as a result of migrating a business to new owners.</w:t>
      </w:r>
    </w:p>
    <w:p>
      <w:pPr>
        <w:spacing w:after="0" w:line="21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Because acquisitions and divestitures are inherently risky, our transactions may not be successful and may have a material adverse effect on our business, results of operations, financial condition or cash flows. Acquisitions of businesses having a significant presence outside the U.S. will increase our exposure to the risks of conducting operations in international markets.</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Charges to earnings resulting from acquisitions may adversely affect our operating results.</w:t>
      </w:r>
    </w:p>
    <w:p>
      <w:pPr>
        <w:spacing w:after="0" w:line="225"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Under business combination accounting standards, we recognize the identifiable assets acquired and the liabilities assumed in acquired companies generally at their acquisition-date fair values and separately from goodwill. Goodwill is measured as the excess amount of consideration transferred, which is also generally measured at fair value, and the net of the amounts of the identifiable assets acquired and the liabilities assumed as of the acquisition date.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of goodwill or intangible assets, or a reduction in the useful lives of intangible assets acquired;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amortization of intangible assets acquired;</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or changes to, assumed contingent liabilities, both income tax and non-income tax related, after our final determination of the amounts for these contingencies or the conclusion of the measurement period (generally up to one year from the acquisition date), whichever comes first;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redeployment or relocation expenses;</w:t>
      </w: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charges to our operating results to maintain certain duplicative pre-merger activities for an extended period of time or to maintain these activities for a period of time that is longer than we had anticipated, charges to eliminate certain duplicative pre-merger activities, and charges to restructure our operations or to reduce our cost structure;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charges to our operating results resulting from expenses incurred to effect the acquisition.</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Substantially all of these costs will be accounted for as expenses that will decrease our net income and earnings per share for the periods in which those costs are incurred. Charges to our operating results in any given period could differ substantially from other periods based on the timing and size of our future acquisitions and the extent of integration activities. A more detailed discussion of our accounting for business combinations and other items is presented in the “Critical Accounting Policies and Estimates” section of Management’s Discussion and Analysis of Financial Condition and Results of Operations (Item 7).</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reengineering initiative may cause our growth prospects and profitability to suffer.</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As part of our management approach, we implemented an ongoing reengineering initiative designed to grow revenues through strategic resource allocation and improve profitability through cost reductions. Our reengineering initiative may not be successful over the long term as a result of our failure to reduce expenses at the anticipated level, or a lower, or no, positive impact on revenues from strategic resource allocation. If our reengineering initiative is not successful over the long term, our revenues, results of operations and business may suffer.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occurrence of certain negative events may cause fluctuations in our stock price.</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market price of our common stock may be volatile and could be subject to wide fluctuations due to a number of factors, including variations in our revenues and operating results. We believe that you should not rely on period-to-period comparisons of financial results as an indication of future performance. Because many of our operating expenses are fixed and will not be affected by short-term fluctuations in revenues, short-term fluctuations in revenues may significantly impact operating results. Additional factors that may cause our stock price to fluctuate include the following:</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variability in demand from our existing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meet the expectations of market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recommendations by market analysts;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lengthy and variable sales cycle of many products, combined with the relatively large size of orders for our products, increases the likelihood of short-term fluctuation in revenues;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consumer or customer dissatisfaction with, or problems caused by, the performance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new product announcements and introductions in comparison with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our operating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competitive and other conditions in the consumer credit, banking and insurance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domestic and international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complete large installations, and to adopt and configure cloud-based deployments, on schedule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acquisition-related expenses and charges;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timing of orders for and deliveries of software systems.</w:t>
      </w:r>
    </w:p>
    <w:p>
      <w:pPr>
        <w:spacing w:after="0" w:line="211"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In addition, the financial markets have at various times experienced significant price and volume fluctuations that have particularly affected the stock prices of many technology companies and financial services companies, and these fluctuations sometimes have been unrelated to the operating performance of these companies. Broad market fluctuations, as well as industry-specific and general economic conditions, may negatively affect our business and require us to record an impairment charge related to goodwill, which could adversely affect our results of operations, stock price and business.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products have long and variable sales cycles. If we do not accurately predict these cycles, we may not forecast our financial results accurately, and our stock price could be adversely affected.</w:t>
      </w:r>
    </w:p>
    <w:p>
      <w:pPr>
        <w:spacing w:after="0" w:line="170"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We experience difficulty in forecasting our revenues accurately because the length of our sales cycles makes it difficult for us to predict the quarter in which sales will occur. In addition, our selling approach is complex as we look to sell multiple products and services across our customers’ organizations. This makes forecasting of revenues in any given period more difficult. As a result of our sales approach and lengthening sales cycles, revenues and operating results may vary significantly from period to period. For example, the sales cycle for our products typically ranges from 60 days to 18 months. Customers are often cautious in making decisions to acquire our products because purchasing our products typically involves a significant commitment of capital and may involve shifts by the customer to a new software and/or hardware platform or changes in the customer’s operational procedures. This may cause customers, particularly those experiencing financial stress, to make purchasing decisions more cautiously. Delays in completing sales can arise while customers complete their internal procedures to approve large capital expenditures and test and accept our applications. Consequently, we face difficulty predicting the quarter in which sales to expected customers will occur and experience fluctuations in our revenues and operating results. If we are unable to accurately forecast our revenues, our stock price could be adversely affected.</w:t>
      </w:r>
    </w:p>
    <w:p>
      <w:pPr>
        <w:spacing w:after="0" w:line="178" w:lineRule="exact"/>
        <w:rPr>
          <w:sz w:val="20"/>
          <w:szCs w:val="20"/>
          <w:color w:val="auto"/>
        </w:rPr>
      </w:pPr>
    </w:p>
    <w:p>
      <w:pPr>
        <w:ind w:left="180" w:right="700"/>
        <w:spacing w:after="0" w:line="277" w:lineRule="auto"/>
        <w:rPr>
          <w:sz w:val="20"/>
          <w:szCs w:val="20"/>
          <w:color w:val="auto"/>
        </w:rPr>
      </w:pPr>
      <w:r>
        <w:rPr>
          <w:rFonts w:ascii="Arial" w:cs="Arial" w:eastAsia="Arial" w:hAnsi="Arial"/>
          <w:sz w:val="18"/>
          <w:szCs w:val="18"/>
          <w:b w:val="1"/>
          <w:bCs w:val="1"/>
          <w:i w:val="1"/>
          <w:iCs w:val="1"/>
          <w:color w:val="auto"/>
        </w:rPr>
        <w:t>We typically have revenue-generating transactions concentrated in the final weeks of a quarter, which may prevent accurate forecasting of our financial results and cause our stock price to decline.</w:t>
      </w:r>
    </w:p>
    <w:p>
      <w:pPr>
        <w:spacing w:after="0" w:line="170"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Large portions of our customer agreements are consummated in the weeks immediately preceding quarter end. Before these agreements are consummated, we create and rely on forecasted revenues for planning, modeling and earnings guidance. Forecasts, however, are only estimates and actual results may vary for a particular quarter or longer periods of time. Consequently, significant discrepancies between actual and forecasted results could limit our ability to plan, budget or provide accurate guidance, which could adversely affect our stock price. Any publicly-stated revenue or earnings projections are subject to this risk.</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recruit and retain additional qualified personnel could hinder our ability to successfully manage our business.</w:t>
      </w:r>
    </w:p>
    <w:p>
      <w:pPr>
        <w:spacing w:after="0" w:line="225"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Our DM strategy and our future success will depend in large part on our ability to attract and retain experienced sales, consulting, research and development, marketing, technical support and management personnel. The complexity of our products requires highly trained personnel for research and development and to assist customers with product installation, deployment, maintenance and support. The labor market for these individuals is very competitive due to the limited number of people available with the necessary technical skills and understanding and may become more competitive with general market and economic improvement. We cannot be certain that our compensation strategies will be perceived as competitive by current or prospective employees. This could impair our ability to recruit and retain personnel. We have experienced difficulty in recruiting qualified personnel, especially technical, sales and consulting personnel, and we may need additional staff to support new customers and/or increased customer needs. We may also recruit skilled technical professionals from other countries to work in the U.S., and from the U.S. and other countries to work abroad. Limitations imposed by immigration laws in the U.S. and abroad and the availability of visas in the countries where we do business could hinder our ability to attract necessary qualified personnel and harm our business and future operating results. There is a risk that even if we invest significant resources in attempting to attract, train and retain qualified personnel, we will not succeed in our efforts, and our business could be harmed. The failure of the value of our stock to appreciate may adversely affect our ability to use equity and equity-based incentive plans to attract and retain personnel, and may require us to use alternative and more expensive forms of compensation for this purpose.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obtain certain forms of model construction data from our customers or others could harm our business.</w:t>
      </w:r>
    </w:p>
    <w:p>
      <w:pPr>
        <w:spacing w:after="0" w:line="225"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Our business requires that we develop or obtain a reliable source of sufficient amounts of current and statistically relevant data to analyze transactions and update our products. In most cases, these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partners provide us with the data we require to analyze transactions, report results and build new models. Our DM strategy depends in part upon our ability to access new forms of data to develop custom and proprietary analytic tools. If we fail to maintain sufficient data sourcing relationships with our customers and business partners, or if they decline to provide such data due to privacy concerns, competition concerns, prohibitions or a lack of permission from their customers or partners, we could lose access to required data and our products, and the development of new products, might become less effective. Third parties have asserted copyright and other intellectual property interests in these data, and these assertions, if successful, could prevent us from using these data. Any interruption of our supply of data could seriously harm our business, financial condition or results of operations.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will continue to rely upon proprietary technology rights, and if we are unable to protect them, our business could be harmed.</w:t>
      </w:r>
    </w:p>
    <w:p>
      <w:pPr>
        <w:spacing w:after="0" w:line="225"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There can be no assurance that our protection of our intellectual property rights in the U.S.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spacing w:after="0" w:line="16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subject to infringement claims, it could harm our business.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expect that products in the industry segments in which we compete, including software products, will increasingly be subject to claims of patent and other intellectual property infringement as the number of products and competitors in our industry segments grow. We may need to defend claims that our products infringe intellectual property rights, and as a result we may:</w:t>
      </w:r>
    </w:p>
    <w:p>
      <w:pPr>
        <w:spacing w:after="0" w:line="18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significant defense costs or substantial damages;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required to cease the use or sale of infringing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expend significant resources to develop or license a substitute non-infringing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discontinue the use of some technology; or</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required to obtain a license under the intellectual property rights of the third party claiming infringement, which license may not be available or might require substantial royalties or license fees that would reduce our margins.</w:t>
      </w:r>
    </w:p>
    <w:p>
      <w:pPr>
        <w:spacing w:after="0" w:line="18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solutions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w:t>
      </w:r>
    </w:p>
    <w:p>
      <w:pPr>
        <w:spacing w:after="0" w:line="188"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If our cybersecurity measures are compromised or unauthorized access to customer or consumer data is otherwise obtained, our products and services may be perceived as not being secure, customers may curtail or cease their use of our products and services, our reputation may be damaged and we could incur significant liabilities.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Our business requires the storage, transmission and utilization of sensitive consumer and customer information. Many of our products are provided by us through the Internet. Cybersecurity breaches could expose us to a risk of loss, the unauthorized disclosure of consumer or customer information, litigation, indemnity obligations and other liability. If our cybersecurity measures are breached as a result of third-party action, employee error, malfeasance or otherwise, and as a result, someone obtains unauthorized access to our systems or to consumer or customer information, our reputation may be damaged, our business may suffer and we could incur significant liability. Because the techniques used to obtain unauthorized access, or to sabotage systems, change frequently and generally are not recognized until launched against a target, we may be unable to anticipate these techniques or to implement adequate preventative measures. Malicious third parties may also conduct attacks designed to temporarily deny customers access to our services. Cybersecurity compromises experienced by our competitors, by our distributors, by our customers or by us may lead to public disclosures, which may lead to widespread negative publicity. Any cybersecurity compromise in our industry, whether actual or perceived, could harm our reputation, erode customer confidence in the effectiveness of our security measures, negatively impact our ability to attract new customers, cause existing customers to curtail or cease their use of our products and services, cause regulatory or industry changes that impact our products and services, or subject us to third-party lawsuits, regulatory fines or other action or liability, all of which could materially and adversely affect our business and operating results.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Protection from system interruptions is important to our business. If we experience system interruptions, it could harm our business.</w:t>
      </w:r>
    </w:p>
    <w:p>
      <w:pPr>
        <w:spacing w:after="0" w:line="237"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Systems or network interruptions, including interruptions experienced in connection with our cloud-based and other product offerings, could delay and disrupt our ability to develop, deliver or maintain our products and services, causing harm to our business and reputation and resulting in loss of customers or revenue. These interruptions can include software or hardware malfunctions, communication failures, outages or other failures of third party environments or service providers, fires, floods, earthquakes, power losses, equipment failures and other events beyond our control.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ability to increase our revenues will depend to some extent upon introducing new products and services. If the marketplace does not accept these new products and services, our revenues may decline.</w:t>
      </w:r>
    </w:p>
    <w:p>
      <w:pPr>
        <w:spacing w:after="0" w:line="170"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We have a significant share of the available market in portions of our Scores segment and for certain services in our Applications segment, specifically, the markets for account management services at payment card processors and payment card fraud detection software. To increase our revenues, we must enhance and improve existing products and continue to introduce new products and new versions of existing products that keep pace with technological developments, satisfy increasingly sophisticated customer requirements and achieve market acceptance. We believe much of the future growth of our business and the success of our DM strategy will rest on our ability to continue to expand into newer markets for our products and services. Such areas are relatively new to our product development and sales and marketing personnel. Products that we plan to market in the future are in various stages of development. We cannot assure you that the marketplace will accept these products. If our current or potential customers are not willing to switch to or adopt our new products and services, either as a result of the quality of these products and services or due to other factors, such as economic conditions, our revenues will decrease.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fail to keep up with rapidly changing technologies, our products could become less competitive or obsolete.</w:t>
      </w:r>
    </w:p>
    <w:p>
      <w:pPr>
        <w:spacing w:after="0" w:line="22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In our markets, technology changes rapidly, and there are continuous improvements in computer hardware, network operating systems, programming tools, programming languages, operating systems, database technologies, cloud-based technologies and the use of the Internet.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spacing w:after="0" w:line="18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innovate by internally developing new and competitive technologies;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develop our technical expertise;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anticipate and effectively respond to changing customer needs;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new product introductions in a way that minimizes the impact of customers delaying purchases of existing products in anticipation of new product releases; and</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influence and respond to emerging industry standards and other technological changes.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b w:val="1"/>
          <w:bCs w:val="1"/>
          <w:i w:val="1"/>
          <w:iCs w:val="1"/>
          <w:color w:val="auto"/>
        </w:rPr>
        <w:t>Our product and pricing strategies may not be successful. If our competitors introduce new products and pricing strategies, it could decrease our product sales and market share, or could pressure us to reduce our product prices in a manner that reduces our margins.</w:t>
      </w:r>
    </w:p>
    <w:p>
      <w:pPr>
        <w:spacing w:after="0" w:line="147"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Demand for our products and services may be sensitive to product and pricing changes we implement, and our product and pricing strategies may not be accepted by the market. If our customers fail to accept our product and pricing strategies, our revenues, results of operations and business may suffer. In addition, we may not be able to compete successfully against our competitors, and this inability could impair our capacity to sell our products. The market for business analytics is rapidly evolving and highly competitive, and we expect competition in this market to persist and intensify. Our regional and global competitors vary in size and in the scope of the products and services they offer, and include:</w:t>
      </w:r>
    </w:p>
    <w:p>
      <w:pPr>
        <w:spacing w:after="0" w:line="17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in-house analytic and systems developers;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scoring model builders;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fraud and security management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enterprise resource planning, customer relationship management, and customer communication and mobility solution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intelligence solutions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credit report and credit score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process management and decision rules management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process modeling tools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automated application processing services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data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neural network developers and artificial intelligence system builders;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third-party professional services and consulting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account/workflow management software providers;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software tools companies supplying modeling, rules, or analytic development tools; collections and recovery solutions providers; entity resolution and social network analysis solutions providers; and</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cloud-based customer engagement and risk management solutions providers.</w:t>
      </w:r>
    </w:p>
    <w:p>
      <w:pPr>
        <w:spacing w:after="0" w:line="21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We expect to experience additional competition from other established and emerging companies, as well as from other technologies. For example, certain of our fraud solutions products compete against other methods of preventing payment card fraud, such as payment cards that contain the cardholder’s photograph; smart cards; cardholder verification and authentication solutions; biometric measures on devices including fingerprint and face matching; and other card authorization techniques and user verification techniques. Many of our anticipated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Furthermore, new competitors or alliances among competitors may emerge and rapidly gain significant market share. For example, Experian, TransUnion and Equifax have formed an alliance that has developed a credit scoring product competitive with our products. If we are unable to respond as quickly or effectively to changes in customer requirements as our competition, our ability to expand our business and sell our products will be negatively affected.</w:t>
      </w:r>
    </w:p>
    <w:p>
      <w:pPr>
        <w:spacing w:after="0" w:line="18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competitors may be able to sell products competitive to ours at lower prices individually or as part of integrated suites of several related products. This ability may cause our customers to purchase products that directly compete with our products from our competitors. Price reductions by our competitors could negatively impact our margins, and could also harm our ability to obtain new long-term contracts and renewals of existing long-term contracts on favorable terms.</w:t>
      </w:r>
    </w:p>
    <w:p>
      <w:pPr>
        <w:spacing w:after="0" w:line="187" w:lineRule="exact"/>
        <w:rPr>
          <w:sz w:val="20"/>
          <w:szCs w:val="20"/>
          <w:color w:val="auto"/>
        </w:rPr>
      </w:pPr>
    </w:p>
    <w:p>
      <w:pPr>
        <w:jc w:val="both"/>
        <w:ind w:left="180"/>
        <w:spacing w:after="0" w:line="302" w:lineRule="auto"/>
        <w:rPr>
          <w:sz w:val="20"/>
          <w:szCs w:val="20"/>
          <w:color w:val="auto"/>
        </w:rPr>
      </w:pPr>
      <w:r>
        <w:rPr>
          <w:rFonts w:ascii="Arial" w:cs="Arial" w:eastAsia="Arial" w:hAnsi="Arial"/>
          <w:sz w:val="16"/>
          <w:szCs w:val="16"/>
          <w:b w:val="1"/>
          <w:bCs w:val="1"/>
          <w:i w:val="1"/>
          <w:iCs w:val="1"/>
          <w:color w:val="auto"/>
        </w:rPr>
        <w:t>Laws and regulations in the U.S. and abroad that apply to us or to our customers may expose us to liability, cause us to incur significant expense, affect our ability to compete in certain markets, limit the profitability of or demand for our products, or render our products obsolete. If these laws and regulations require us to change our products and services, it could adversely affect our business and results of operations. New legislation or regulations, or changes to existing laws and regulations, may also negatively impact our business and increase our costs of doing business.</w:t>
      </w:r>
    </w:p>
    <w:p>
      <w:pPr>
        <w:spacing w:after="0" w:line="154"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Laws and governmental regulation affect how our business is conducted and, in some cases, subject us to the possibility of government supervision and future lawsuits arising from our products and services. Laws and governmental regulation also influence our current and prospective customers’ activities, as well as their expectations and needs in relation to our products and services. Laws and regulations that may affect our business and our current and prospective customers’ activities include, but are not limited to, those in the following significant regulatory areas: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60" w:hanging="322"/>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Use of data by creditors and consumer reporting agencies (e.g., the U.S. Fair Credit Reporting Act);</w:t>
      </w:r>
    </w:p>
    <w:p>
      <w:pPr>
        <w:spacing w:after="0" w:line="23" w:lineRule="exact"/>
        <w:rPr>
          <w:rFonts w:ascii="Arial" w:cs="Arial" w:eastAsia="Arial" w:hAnsi="Arial"/>
          <w:sz w:val="18"/>
          <w:szCs w:val="18"/>
          <w:color w:val="auto"/>
        </w:rPr>
      </w:pPr>
    </w:p>
    <w:p>
      <w:pPr>
        <w:ind w:left="560" w:hanging="322"/>
        <w:spacing w:after="0" w:line="250"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Laws and regulations that limit the use of credit scoring models (e.g., state “mortgage trigger” or “inquiries” laws, state insurance restrictions on the use of credit-based insurance scores, and the E.U. Consumer Credit Directive);</w:t>
      </w:r>
    </w:p>
    <w:p>
      <w:pPr>
        <w:ind w:left="560" w:hanging="322"/>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Fair lending laws (e.g., the Equal Credit Opportunity Act and Regulation B, and the Fair Housing Act);</w:t>
      </w:r>
    </w:p>
    <w:p>
      <w:pPr>
        <w:spacing w:after="0" w:line="9" w:lineRule="exact"/>
        <w:rPr>
          <w:rFonts w:ascii="Arial" w:cs="Arial" w:eastAsia="Arial" w:hAnsi="Arial"/>
          <w:sz w:val="18"/>
          <w:szCs w:val="18"/>
          <w:color w:val="auto"/>
        </w:rPr>
      </w:pPr>
    </w:p>
    <w:p>
      <w:pPr>
        <w:jc w:val="both"/>
        <w:ind w:left="560" w:hanging="322"/>
        <w:spacing w:after="0" w:line="250"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Privacy and security laws and regulations that limit the use and disclosure of personally identifiable information, require security procedures, or otherwise apply to the collection, processing, storage, use and transfer of protected data (e.g., the U.S. Financial Services Modernization Act of 1999, also known as the Gramm Leach Bliley Act; the General Data Protection Regulation (the “GDPR”) and country-specific data protection laws enacted to supplement the GDPR; the U.S. Health Insurance Portability and Accountability Act of 1996, as amended by the Health Information Technology for Economic and Clinical Health Act; the Cybersecurity Act of 2015; the U.S. Department of Commerce’s National Institute of Standards and Technology’s Cybersecurity Framework; the Clarifying Lawful Overseas Use of Data Act; and identity theft, file freezing, security breach notification and similar state privacy laws);</w:t>
      </w:r>
    </w:p>
    <w:p>
      <w:pPr>
        <w:spacing w:after="0" w:line="3" w:lineRule="exact"/>
        <w:rPr>
          <w:rFonts w:ascii="Arial" w:cs="Arial" w:eastAsia="Arial" w:hAnsi="Arial"/>
          <w:sz w:val="18"/>
          <w:szCs w:val="18"/>
          <w:color w:val="auto"/>
        </w:rPr>
      </w:pPr>
    </w:p>
    <w:p>
      <w:pPr>
        <w:ind w:left="560" w:right="20" w:hanging="322"/>
        <w:spacing w:after="0" w:line="216" w:lineRule="exact"/>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Extension of credit to consumers through the Electronic Fund Transfers Act and Regulation E, as well as non</w:t>
      </w:r>
      <w:r>
        <w:rPr>
          <w:rFonts w:ascii="MS PGothic" w:cs="MS PGothic" w:eastAsia="MS PGothic" w:hAnsi="MS PGothic"/>
          <w:sz w:val="18"/>
          <w:szCs w:val="18"/>
          <w:color w:val="auto"/>
        </w:rPr>
        <w:t>‑</w:t>
      </w:r>
      <w:r>
        <w:rPr>
          <w:rFonts w:ascii="Arial" w:cs="Arial" w:eastAsia="Arial" w:hAnsi="Arial"/>
          <w:sz w:val="18"/>
          <w:szCs w:val="18"/>
          <w:color w:val="auto"/>
        </w:rPr>
        <w:t>governmental VISA and MasterCard electronic payment standards;</w:t>
      </w:r>
    </w:p>
    <w:p>
      <w:pPr>
        <w:jc w:val="both"/>
        <w:ind w:left="560" w:hanging="322"/>
        <w:spacing w:after="0" w:line="250"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Laws and regulations applicable to secondary market participants (e.g., Fannie Mae and Freddie Mac) that could have an impact on our scoring products, including 12 CFR Part 1254 (Validation and Approval of Credit Score Models) issued by the Federal Housing Finance Agency in accordance with Section 310 of the Economic Growth, Regulatory Relief, and Consumer Protection Act (Public Law 115-174), and any regulations, standards or criteria established pursuant to such laws or regulations;</w:t>
      </w:r>
    </w:p>
    <w:p>
      <w:pPr>
        <w:spacing w:after="0" w:line="1" w:lineRule="exact"/>
        <w:rPr>
          <w:rFonts w:ascii="Arial" w:cs="Arial" w:eastAsia="Arial" w:hAnsi="Arial"/>
          <w:sz w:val="18"/>
          <w:szCs w:val="18"/>
          <w:color w:val="auto"/>
        </w:rPr>
      </w:pPr>
    </w:p>
    <w:p>
      <w:pPr>
        <w:ind w:left="560" w:hanging="322"/>
        <w:spacing w:after="0" w:line="250"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Laws and regulations applicable to our customer communication clients and their use of our products and services (e.g., the Telemarketing Sales Rule, Telephone Consumer Protection Act and regulations promulgated thereunder);</w:t>
      </w:r>
    </w:p>
    <w:p>
      <w:pPr>
        <w:ind w:left="560" w:hanging="322"/>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Laws and regulations applicable to our insurance clients and their use of our insurance products and services;</w:t>
      </w:r>
    </w:p>
    <w:p>
      <w:pPr>
        <w:spacing w:after="0" w:line="9" w:lineRule="exact"/>
        <w:rPr>
          <w:rFonts w:ascii="Arial" w:cs="Arial" w:eastAsia="Arial" w:hAnsi="Arial"/>
          <w:sz w:val="18"/>
          <w:szCs w:val="18"/>
          <w:color w:val="auto"/>
        </w:rPr>
      </w:pPr>
    </w:p>
    <w:p>
      <w:pPr>
        <w:jc w:val="both"/>
        <w:ind w:left="560" w:hanging="322"/>
        <w:spacing w:after="0" w:line="250"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application or extension of consumer protection laws, including implementing regulations (e.g., the Consumer Financial Protection Act, the Federal Trade Commission Act, the Truth In Lending Act and Regulation Z, the Fair Debt Collection Practices Act, the Servicemembers Civil Relief Act, the Military Lending Act, and the Credit Repair Organizations Act);</w:t>
      </w:r>
    </w:p>
    <w:p>
      <w:pPr>
        <w:spacing w:after="0" w:line="1" w:lineRule="exact"/>
        <w:rPr>
          <w:rFonts w:ascii="Arial" w:cs="Arial" w:eastAsia="Arial" w:hAnsi="Arial"/>
          <w:sz w:val="18"/>
          <w:szCs w:val="18"/>
          <w:color w:val="auto"/>
        </w:rPr>
      </w:pPr>
    </w:p>
    <w:p>
      <w:pPr>
        <w:ind w:left="560" w:hanging="322"/>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Laws and regulations governing the use of the Internet and social media, telemarketing, advertising, endorsements and testimonials;</w:t>
      </w:r>
    </w:p>
    <w:p>
      <w:pPr>
        <w:spacing w:after="0" w:line="9" w:lineRule="exact"/>
        <w:rPr>
          <w:rFonts w:ascii="Arial" w:cs="Arial" w:eastAsia="Arial" w:hAnsi="Arial"/>
          <w:sz w:val="18"/>
          <w:szCs w:val="18"/>
          <w:color w:val="auto"/>
        </w:rPr>
      </w:pPr>
    </w:p>
    <w:p>
      <w:pPr>
        <w:ind w:left="560" w:hanging="322"/>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Anti-bribery and corruption laws and regulations (e.g., the Foreign Corrupt Practices Act and the UK Bribery Act 2010);</w:t>
      </w:r>
    </w:p>
    <w:p>
      <w:pPr>
        <w:spacing w:after="0" w:line="9" w:lineRule="exact"/>
        <w:rPr>
          <w:rFonts w:ascii="Arial" w:cs="Arial" w:eastAsia="Arial" w:hAnsi="Arial"/>
          <w:sz w:val="18"/>
          <w:szCs w:val="18"/>
          <w:color w:val="auto"/>
        </w:rPr>
      </w:pPr>
    </w:p>
    <w:p>
      <w:pPr>
        <w:ind w:left="560" w:hanging="322"/>
        <w:spacing w:after="0" w:line="250"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regulatory standards (e.g., Sarbanes-Oxley Act requirements to maintain and verify internal process controls, including controls for material event awareness and notification);</w:t>
      </w:r>
    </w:p>
    <w:p>
      <w:pPr>
        <w:ind w:left="560" w:hanging="322"/>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requirements for managing third parties (e.g., vendors, contractors, suppliers and distributors);</w:t>
      </w:r>
    </w:p>
    <w:p>
      <w:pPr>
        <w:spacing w:after="0" w:line="9" w:lineRule="exact"/>
        <w:rPr>
          <w:rFonts w:ascii="Arial" w:cs="Arial" w:eastAsia="Arial" w:hAnsi="Arial"/>
          <w:sz w:val="18"/>
          <w:szCs w:val="18"/>
          <w:color w:val="auto"/>
        </w:rPr>
      </w:pPr>
    </w:p>
    <w:p>
      <w:pPr>
        <w:ind w:left="560" w:hanging="322"/>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Anti-money laundering laws and regulations (e.g., the Bank Secrecy Act and the USA PATRIOT Act);</w:t>
      </w:r>
    </w:p>
    <w:p>
      <w:pPr>
        <w:spacing w:after="0" w:line="9" w:lineRule="exact"/>
        <w:rPr>
          <w:rFonts w:ascii="Arial" w:cs="Arial" w:eastAsia="Arial" w:hAnsi="Arial"/>
          <w:sz w:val="18"/>
          <w:szCs w:val="18"/>
          <w:color w:val="auto"/>
        </w:rPr>
      </w:pPr>
    </w:p>
    <w:p>
      <w:pPr>
        <w:ind w:left="560" w:right="20" w:hanging="322"/>
        <w:spacing w:after="0" w:line="281" w:lineRule="auto"/>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Financial regulatory reform stemming from the Dodd-Frank Wall Street Reform and Consumer Protection Act and the many regulations mandated by that Act, including regulations issued by, and the supervisory and investigative authority of, the Consumer Financial Protection Bureau; and</w:t>
      </w:r>
    </w:p>
    <w:p>
      <w:pPr>
        <w:spacing w:after="0" w:line="1" w:lineRule="exact"/>
        <w:rPr>
          <w:rFonts w:ascii="Arial" w:cs="Arial" w:eastAsia="Arial" w:hAnsi="Arial"/>
          <w:sz w:val="16"/>
          <w:szCs w:val="16"/>
          <w:color w:val="auto"/>
        </w:rPr>
      </w:pPr>
    </w:p>
    <w:p>
      <w:pPr>
        <w:ind w:left="560" w:right="100" w:hanging="322"/>
        <w:spacing w:after="0" w:line="261"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Laws and regulations regarding export controls as they apply to FICO products delivered in non-U.S. countries (e.g., Office of Foreign Asset Control sanctions, and Export Administration Regulations).</w:t>
      </w:r>
    </w:p>
    <w:p>
      <w:pPr>
        <w:spacing w:after="0" w:line="184"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In addition, many U.S. and foreign jurisdictions have passed, or are currently contemplating, a variety of consumer protection, privacy, and data security laws and regulations that may relate to our business or affect the demand for our products and services. For example, the GDPR became effective on May 25, 2018 and imposes more stringent operational requirements for entities processing personal information and greater penalties for noncompliance. Brazil, India, South Africa, Japan, China, Israel, Canada, and several other countries have introduced and, in some cases, enacted, similar privacy laws. The California Consumer Privacy Act of 2018, which was enacted on June 28, 2018 and will become effective on January 1, 2020, gives California residents certain privacy rights in the collection and disclosure of their personal information and requires businesses to make certain disclosures and take certain other acts in furtherance of those rights. The costs and other burdens of compliance with privacy and data security laws and regulations could negatively impact the use and adoption of our solutions and reduce overall demand for them. Additionally, concerns regarding data privacy may cause our customers, or their customers and potential customers, to resist providing the data necessary to allow us to deliver our solutions effectively. Even the perception that the privacy of personal information is not satisfactorily protected or does not meet regulatory requirements could inhibit sales of our solutions and any failure to comply with such laws and regulations could lead to significant fines, penalties or other liabilities. Any such decrease in demand or incurred fines, penalties or other liabilities could have a material adverse effect on our business, results of operations, and financial condition.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In addition to existing laws and regulations, changes in the U.S. or foreign legislative, judicial, regulatory or consumer environments could harm our business, financial condition or results of operations. The laws and regulations above, and changes to them, could affect the demand for or profitability of our products, including scoring and consumer products. New laws and regulations pertaining to our customers could cause them to pursue new strategies, reducing the demand for our products.</w:t>
      </w:r>
    </w:p>
    <w:p>
      <w:pPr>
        <w:spacing w:after="0" w:line="18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revenues depend, to a great extent, upon conditions in the banking (including consumer credit) and insurance industries. If our clients’ industries experience uncertainty, it will likely harm our business, financial condition or results of operations.</w:t>
      </w:r>
    </w:p>
    <w:p>
      <w:pPr>
        <w:spacing w:after="0" w:line="170"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During fiscal 2019, 88% of our revenues were derived from sales of products and services to the banking and insurance industries. Global economic uncertainty experienced in the U.S. and other key international economies in the past produced substantial stress, volatility, illiquidity and disruption of global credit and other financial markets, resulting in the bankruptcy or acquisition of, or government assistance to, several major domestic and international financial institutions. The potential for disruptions presents considerable risks to our businesses and operations. These risks include potential bankruptcies or credit deterioration of financial institutions, many of which are our customers. Such disruption would result in a decline in the revenue we receive from financial and other institutions.</w:t>
      </w:r>
    </w:p>
    <w:p>
      <w:pPr>
        <w:spacing w:after="0" w:line="193"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While the rate of account growth in the U.S. bankcard industry has been slow and many of our large institutional customers have consolidated in recent years, we have generated most of our revenue growth from our bankcard-related scoring and account management businesses by selling and cross-selling our products and services to large banks and other credit issuers. As the banking industry continues to experience contraction in the number of participating institutions, we may have fewer opportunities for revenue growth due to reduced or changing demand for our products and services that support customer acquisition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spacing w:after="0" w:line="17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While we are attempting to expand our sales of consumer credit, banking and insurance products and services into international markets, the risks are greater as these markets are also experiencing substantial disruption and we are less well-known in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External Conditions</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Material adverse developments in global economic conditions, or the occurrence of certain other world events, could affect demand for our products and services and harm our business.</w:t>
      </w:r>
    </w:p>
    <w:p>
      <w:pPr>
        <w:spacing w:after="0" w:line="170"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Purchases of technology products and services and decisioning solutions are subject to adverse economic conditions. When an economy is struggling, companies in many industries delay or reduce technology purchases, and we experience softened demand for our decisioning solutions and other products and services. Global economic uncertainty has produced substantial stress, volatility, illiquidity and disruption of global credit and other financial markets in the past. Any economic uncertainty can negatively affect the businesses and purchasing decisions of companies in the industries we serve. The potential for disruptions presents considerable risks to our businesses and operations. If global economic conditions experience stress and negative volatility, or if there is an escalation in regional or global conflicts or terrorism, we will likely experience reductions in the number of available customers and in capital expenditures by our remaining customers, longer sales cycles, deferral or delay of purchase commitments for our products and increased price competition, which may adversely affect our business, results of operations and liquidity.</w:t>
      </w:r>
    </w:p>
    <w:p>
      <w:pPr>
        <w:spacing w:after="0" w:line="179"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For example, on June 23, 2016, the United Kingdom (“U.K.”) held a referendum in which voters approved an exit from the E.U., commonly referred to as “Brexit.” As a result of the referendum, on March 29, 2017, the U.K. triggered Article 50 of the Lisbon Treaty formally starting negotiations regarding its exit from the E.U. As a result of the referendum and the ongoing uncertainty regarding the timing of Brexit, the future relationship between the U.K. and the E.U. remains unknown. Brexit has caused, and may continue to create, volatility in global stock markets and regional and global economic uncertainty, which may cause our customers to closely monitor their costs and reduce their spending budget on our products and services.</w:t>
      </w:r>
    </w:p>
    <w:p>
      <w:pPr>
        <w:spacing w:after="0" w:line="173"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Whether or not recent or new legislative or regulatory initiatives or other efforts successfully stabilize and add liquidity to the financial markets,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which may include regulatory developments and trends in new products and services. Our failure to do so could materially and adversely affect our business, financial condition, results of operations and prospects.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In operations outside the U.S., we are subject to additional risks that may harm our business, financial condition or results of operations.</w:t>
      </w:r>
    </w:p>
    <w:p>
      <w:pPr>
        <w:spacing w:after="0" w:line="23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 growing portion of our revenues is derived from international sales. During fiscal 2019, 34% of our revenues were derived from business outside the U.S. As part of our growth strategy, we plan to continue to pursue opportunities outside the U.S.,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spacing w:after="0" w:line="15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political conditions in countries where we sell our products and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staffing and efficiently managing our operations in multiple geographic locations and in various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effects of a variety of foreign laws and regulations, including restrictions on access to personal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import and export licensing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tariffs and other trade barriers;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and delays in translating products and related documentation into foreign languages.</w:t>
      </w:r>
    </w:p>
    <w:p>
      <w:pPr>
        <w:spacing w:after="0" w:line="211"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There can be no assurance that we will be able to successfully address each of these challenges in the near term. Additionally, some of our business will be conducted in currencies other than the U.S. dollar. Foreign currency transaction gains and losses are not currently material to our cash flows, financial position or results of operations. However, an increase in our foreign revenues could subject us to increased foreign currency transaction risks in the future.</w:t>
      </w:r>
    </w:p>
    <w:p>
      <w:pPr>
        <w:spacing w:after="0" w:line="14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addition to the risk of depending on international sales, we have risks incurred in having research and development personnel located in various international locations. We currently have a substantial portion of our product development staff in international locations, some of which have political and developmental risks. If such risks materialize, our business could be damaged.</w:t>
      </w:r>
    </w:p>
    <w:p>
      <w:pPr>
        <w:spacing w:after="0" w:line="18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anti-takeover defenses could make it difficult for another company to acquire control of FICO, thereby limiting the demand for our securities by certain types of purchasers or the price investors are willing to pay for our stock.</w:t>
      </w:r>
    </w:p>
    <w:p>
      <w:pPr>
        <w:spacing w:after="0" w:line="170"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Certain provisions of our Restated Certificate of Incorporation, as amended, could make a merger, tender offer or proxy contest involving us difficult, even if such events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 party to acquire, or discouraging a third 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16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experience changes in tax laws or adverse outcomes resulting from examination of our income tax returns, it could adversely affect our results of operations.</w:t>
      </w:r>
    </w:p>
    <w:p>
      <w:pPr>
        <w:spacing w:after="0" w:line="1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are subject to federal and state income taxes in the U.S. and in certain foreign jurisdictions. Significant judgment is required in determining our worldwide provision for income taxes. Our future effective tax rates could be adversely affected by changes in tax laws, by our ability to generate taxable income in foreign jurisdictions in order to utilize foreign tax losses, and by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outcomes from such examinations will not have an adverse effect on our operating results and financial condition.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81"/>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9"/>
              </w:rPr>
              <w:t>Value of Shares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5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58"/>
        </w:trPr>
        <w:tc>
          <w:tcPr>
            <w:tcW w:w="5000" w:type="dxa"/>
            <w:vAlign w:val="bottom"/>
            <w:gridSpan w:val="3"/>
            <w:vMerge w:val="continue"/>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 (1)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per Share</w:t>
            </w:r>
          </w:p>
        </w:tc>
        <w:tc>
          <w:tcPr>
            <w:tcW w:w="1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Programs (2)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81"/>
              <w:spacing w:after="0" w:line="158" w:lineRule="exact"/>
              <w:rPr>
                <w:sz w:val="20"/>
                <w:szCs w:val="20"/>
                <w:color w:val="auto"/>
              </w:rPr>
            </w:pPr>
            <w:r>
              <w:rPr>
                <w:rFonts w:ascii="Arial" w:cs="Arial" w:eastAsia="Arial" w:hAnsi="Arial"/>
                <w:sz w:val="14"/>
                <w:szCs w:val="14"/>
                <w:b w:val="1"/>
                <w:bCs w:val="1"/>
                <w:color w:val="auto"/>
                <w:w w:val="94"/>
              </w:rPr>
              <w:t>Programs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October 1, 2019 through October 31, 2019</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2,630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307.44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220,332,604</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November 1, 2019 through November 30, 2019</w:t>
            </w: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70,020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352.96</w:t>
            </w:r>
          </w:p>
        </w:tc>
        <w:tc>
          <w:tcPr>
            <w:tcW w:w="100" w:type="dxa"/>
            <w:vAlign w:val="bottom"/>
          </w:tcPr>
          <w:p>
            <w:pPr>
              <w:spacing w:after="0"/>
              <w:rPr>
                <w:sz w:val="21"/>
                <w:szCs w:val="21"/>
                <w:color w:val="auto"/>
              </w:rPr>
            </w:pPr>
          </w:p>
        </w:tc>
        <w:tc>
          <w:tcPr>
            <w:tcW w:w="1560" w:type="dxa"/>
            <w:vAlign w:val="bottom"/>
          </w:tcPr>
          <w:p>
            <w:pPr>
              <w:jc w:val="right"/>
              <w:ind w:right="20"/>
              <w:spacing w:after="0"/>
              <w:rPr>
                <w:sz w:val="20"/>
                <w:szCs w:val="20"/>
                <w:color w:val="auto"/>
              </w:rPr>
            </w:pPr>
            <w:r>
              <w:rPr>
                <w:rFonts w:ascii="Arial" w:cs="Arial" w:eastAsia="Arial" w:hAnsi="Arial"/>
                <w:sz w:val="18"/>
                <w:szCs w:val="18"/>
                <w:color w:val="auto"/>
              </w:rPr>
              <w:t>70,000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195,624,692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1, 2019 through December 31, 2019</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334,205</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360.66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98,383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160,323,403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406,855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168,383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160,323,403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right="20" w:hanging="332"/>
        <w:spacing w:after="0" w:line="258"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238,472 shares delivered in satisfaction of the tax withholding obligations resulting from the vesting of restricted stock units held by employees during the quarter ended December 31, 2019.</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July 2019, our Board of Directors approved a stock repurchase program following the completion of our previous program. This program was open-ended and authorized repurchases of shares of our common stock up to an aggregate cost of $250.0 million in the open market or in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14147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440"/>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Other Information</w:t>
      </w:r>
    </w:p>
    <w:p>
      <w:pPr>
        <w:spacing w:after="0" w:line="144" w:lineRule="exact"/>
        <w:rPr>
          <w:sz w:val="20"/>
          <w:szCs w:val="20"/>
          <w:color w:val="auto"/>
        </w:rPr>
      </w:pPr>
    </w:p>
    <w:p>
      <w:pPr>
        <w:jc w:val="center"/>
        <w:ind w:right="94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auto"/>
        </w:rPr>
        <w:t>Number</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4.2</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10.1 *</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31.1 *</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31.2 *</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32.1 *</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32.2 *</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101.INS</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101.SCH</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101.CAL</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101.DEF</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101.LAB</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101.PRE</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71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80"/>
        <w:spacing w:after="0"/>
        <w:tabs>
          <w:tab w:leader="none" w:pos="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50" w:lineRule="exact"/>
        <w:rPr>
          <w:sz w:val="20"/>
          <w:szCs w:val="20"/>
          <w:color w:val="auto"/>
        </w:rPr>
      </w:pPr>
    </w:p>
    <w:p>
      <w:pPr>
        <w:ind w:right="100"/>
        <w:spacing w:after="0" w:line="277" w:lineRule="auto"/>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Composite Restated Certificate of Incorporation of Fair Isaac Corporation (incorporated by reference to Exhibit 3.2 to the Company’s</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Form 10-Q for the quarter ended December 31, 2009 (file no. 001-11689)).</w:t>
        </w:r>
      </w:hyperlink>
    </w:p>
    <w:p>
      <w:pPr>
        <w:spacing w:after="0" w:line="130" w:lineRule="exact"/>
        <w:rPr>
          <w:sz w:val="20"/>
          <w:szCs w:val="20"/>
          <w:color w:val="auto"/>
        </w:rPr>
      </w:pPr>
    </w:p>
    <w:p>
      <w:pPr>
        <w:ind w:right="560"/>
        <w:spacing w:after="0" w:line="277" w:lineRule="auto"/>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By-laws of Fair Isaac Corporation (incorporated by reference to Exhibit 3.1 to the Company’s Form 10-Q for the quarter ended</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December 31, 2009 (file no. 001-11689)).</w:t>
        </w:r>
      </w:hyperlink>
    </w:p>
    <w:p>
      <w:pPr>
        <w:spacing w:after="0" w:line="130" w:lineRule="exact"/>
        <w:rPr>
          <w:sz w:val="20"/>
          <w:szCs w:val="20"/>
          <w:color w:val="auto"/>
        </w:rPr>
      </w:pPr>
    </w:p>
    <w:p>
      <w:pPr>
        <w:spacing w:after="0" w:line="277" w:lineRule="auto"/>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Indenture dated as of December 6, 2019 by and between the Company and U.S. Bank National Association, as trustee (incorporated by</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reference to Exhibit 4.1 to the Company’s Form 8-K filed December 6, 2019 (file no. 001-11689)).</w:t>
        </w:r>
      </w:hyperlink>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u w:val="single" w:color="auto"/>
          <w:color w:val="0000FF"/>
        </w:rPr>
        <w:t>Form of the Company’s 4.00% Senior Notes due 2028 (incorporated by reference to Exhibit 4.2 to the Company’s Form 8-K filed December 6, 2019 (file no. 001-11689)).</w:t>
      </w:r>
    </w:p>
    <w:p>
      <w:pPr>
        <w:spacing w:after="0" w:line="130" w:lineRule="exact"/>
        <w:rPr>
          <w:sz w:val="20"/>
          <w:szCs w:val="20"/>
          <w:color w:val="auto"/>
        </w:rPr>
      </w:pPr>
    </w:p>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Form of Performance Share Unit Agreement under the 2012 Long-Term Incentive Plan.</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Rule 13a-14(a)/15d-14(a) Certifications of CEO.</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Rule 13a-14(a)/15d-14(a) Certifications of CFO.</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Section 1350 Certification of CEO.</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Section 1350 Certification of CFO.</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48</w:t>
      </w:r>
    </w:p>
    <w:p>
      <w:pPr>
        <w:sectPr>
          <w:pgSz w:w="11900" w:h="16838" w:orient="portrait"/>
          <w:cols w:equalWidth="0" w:num="2">
            <w:col w:w="1440" w:space="80"/>
            <w:col w:w="9720"/>
          </w:cols>
          <w:pgMar w:left="240" w:top="125" w:right="4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by the undersigned, thereunto duly authorized.</w:t>
            </w:r>
          </w:p>
        </w:tc>
        <w:tc>
          <w:tcPr>
            <w:tcW w:w="5460" w:type="dxa"/>
            <w:vAlign w:val="bottom"/>
          </w:tcPr>
          <w:p>
            <w:pPr>
              <w:spacing w:after="0"/>
              <w:rPr>
                <w:sz w:val="20"/>
                <w:szCs w:val="20"/>
                <w:color w:val="auto"/>
              </w:rPr>
            </w:pPr>
          </w:p>
        </w:tc>
      </w:tr>
      <w:tr>
        <w:trPr>
          <w:trHeight w:val="688"/>
        </w:trPr>
        <w:tc>
          <w:tcPr>
            <w:tcW w:w="740" w:type="dxa"/>
            <w:vAlign w:val="bottom"/>
          </w:tcPr>
          <w:p>
            <w:pPr>
              <w:spacing w:after="0"/>
              <w:rPr>
                <w:sz w:val="24"/>
                <w:szCs w:val="24"/>
                <w:color w:val="auto"/>
              </w:rPr>
            </w:pPr>
          </w:p>
        </w:tc>
        <w:tc>
          <w:tcPr>
            <w:tcW w:w="10680" w:type="dxa"/>
            <w:vAlign w:val="bottom"/>
            <w:gridSpan w:val="2"/>
          </w:tcPr>
          <w:p>
            <w:pPr>
              <w:ind w:left="4680"/>
              <w:spacing w:after="0"/>
              <w:rPr>
                <w:sz w:val="20"/>
                <w:szCs w:val="20"/>
                <w:color w:val="auto"/>
              </w:rPr>
            </w:pPr>
            <w:r>
              <w:rPr>
                <w:rFonts w:ascii="Arial" w:cs="Arial" w:eastAsia="Arial" w:hAnsi="Arial"/>
                <w:sz w:val="18"/>
                <w:szCs w:val="18"/>
                <w:color w:val="auto"/>
              </w:rPr>
              <w:t>FAIR ISAAC CORPORATION</w:t>
            </w:r>
          </w:p>
        </w:tc>
      </w:tr>
      <w:tr>
        <w:trPr>
          <w:trHeight w:val="594"/>
        </w:trPr>
        <w:tc>
          <w:tcPr>
            <w:tcW w:w="740" w:type="dxa"/>
            <w:vAlign w:val="bottom"/>
          </w:tcPr>
          <w:p>
            <w:pPr>
              <w:ind w:left="40"/>
              <w:spacing w:after="0"/>
              <w:rPr>
                <w:sz w:val="20"/>
                <w:szCs w:val="20"/>
                <w:color w:val="auto"/>
              </w:rPr>
            </w:pPr>
            <w:r>
              <w:rPr>
                <w:rFonts w:ascii="Arial" w:cs="Arial" w:eastAsia="Arial" w:hAnsi="Arial"/>
                <w:sz w:val="18"/>
                <w:szCs w:val="18"/>
                <w:color w:val="auto"/>
              </w:rPr>
              <w:t>DATE:</w:t>
            </w:r>
          </w:p>
        </w:tc>
        <w:tc>
          <w:tcPr>
            <w:tcW w:w="5220" w:type="dxa"/>
            <w:vAlign w:val="bottom"/>
          </w:tcPr>
          <w:p>
            <w:pPr>
              <w:ind w:left="220"/>
              <w:spacing w:after="0"/>
              <w:rPr>
                <w:sz w:val="20"/>
                <w:szCs w:val="20"/>
                <w:color w:val="auto"/>
              </w:rPr>
            </w:pPr>
            <w:r>
              <w:rPr>
                <w:rFonts w:ascii="Arial" w:cs="Arial" w:eastAsia="Arial" w:hAnsi="Arial"/>
                <w:sz w:val="18"/>
                <w:szCs w:val="18"/>
                <w:color w:val="auto"/>
              </w:rPr>
              <w:t>January 30, 2020</w:t>
            </w:r>
          </w:p>
        </w:tc>
        <w:tc>
          <w:tcPr>
            <w:tcW w:w="5460" w:type="dxa"/>
            <w:vAlign w:val="bottom"/>
          </w:tcPr>
          <w:p>
            <w:pPr>
              <w:spacing w:after="0"/>
              <w:rPr>
                <w:sz w:val="24"/>
                <w:szCs w:val="24"/>
                <w:color w:val="auto"/>
              </w:rPr>
            </w:pPr>
          </w:p>
        </w:tc>
      </w:tr>
      <w:tr>
        <w:trPr>
          <w:trHeight w:val="594"/>
        </w:trPr>
        <w:tc>
          <w:tcPr>
            <w:tcW w:w="740" w:type="dxa"/>
            <w:vAlign w:val="bottom"/>
          </w:tcPr>
          <w:p>
            <w:pPr>
              <w:spacing w:after="0"/>
              <w:rPr>
                <w:sz w:val="24"/>
                <w:szCs w:val="24"/>
                <w:color w:val="auto"/>
              </w:rPr>
            </w:pPr>
          </w:p>
        </w:tc>
        <w:tc>
          <w:tcPr>
            <w:tcW w:w="5220" w:type="dxa"/>
            <w:vAlign w:val="bottom"/>
          </w:tcPr>
          <w:p>
            <w:pPr>
              <w:ind w:left="4680"/>
              <w:spacing w:after="0"/>
              <w:rPr>
                <w:sz w:val="20"/>
                <w:szCs w:val="20"/>
                <w:color w:val="auto"/>
              </w:rPr>
            </w:pPr>
            <w:r>
              <w:rPr>
                <w:rFonts w:ascii="Arial" w:cs="Arial" w:eastAsia="Arial" w:hAnsi="Arial"/>
                <w:sz w:val="18"/>
                <w:szCs w:val="18"/>
                <w:color w:val="auto"/>
              </w:rPr>
              <w:t>By</w:t>
            </w:r>
          </w:p>
        </w:tc>
        <w:tc>
          <w:tcPr>
            <w:tcW w:w="5460" w:type="dxa"/>
            <w:vAlign w:val="bottom"/>
          </w:tcPr>
          <w:p>
            <w:pPr>
              <w:jc w:val="center"/>
              <w:spacing w:after="0"/>
              <w:rPr>
                <w:sz w:val="20"/>
                <w:szCs w:val="20"/>
                <w:color w:val="auto"/>
              </w:rPr>
            </w:pPr>
            <w:r>
              <w:rPr>
                <w:rFonts w:ascii="Arial" w:cs="Arial" w:eastAsia="Arial" w:hAnsi="Arial"/>
                <w:sz w:val="18"/>
                <w:szCs w:val="18"/>
                <w:color w:val="auto"/>
              </w:rPr>
              <w:t>/s/ MICHAEL I. MCLAUGHLIN</w:t>
            </w:r>
          </w:p>
        </w:tc>
      </w:tr>
      <w:tr>
        <w:trPr>
          <w:trHeight w:val="27"/>
        </w:trPr>
        <w:tc>
          <w:tcPr>
            <w:tcW w:w="7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6"/>
              </w:rPr>
              <w:t>Michael I. McLaughlin</w:t>
            </w:r>
          </w:p>
        </w:tc>
      </w:tr>
      <w:tr>
        <w:trPr>
          <w:trHeight w:val="270"/>
        </w:trPr>
        <w:tc>
          <w:tcPr>
            <w:tcW w:w="7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r>
        <w:trPr>
          <w:trHeight w:val="270"/>
        </w:trPr>
        <w:tc>
          <w:tcPr>
            <w:tcW w:w="7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2"/>
              </w:rPr>
              <w:t>(for Registrant as duly authorized officer and</w:t>
            </w:r>
          </w:p>
        </w:tc>
      </w:tr>
      <w:tr>
        <w:trPr>
          <w:trHeight w:val="270"/>
        </w:trPr>
        <w:tc>
          <w:tcPr>
            <w:tcW w:w="7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5"/>
              </w:rPr>
              <w:t>as Principal Financial Officer)</w:t>
            </w:r>
          </w:p>
        </w:tc>
      </w:tr>
      <w:tr>
        <w:trPr>
          <w:trHeight w:val="594"/>
        </w:trPr>
        <w:tc>
          <w:tcPr>
            <w:tcW w:w="740" w:type="dxa"/>
            <w:vAlign w:val="bottom"/>
          </w:tcPr>
          <w:p>
            <w:pPr>
              <w:ind w:left="40"/>
              <w:spacing w:after="0"/>
              <w:rPr>
                <w:sz w:val="20"/>
                <w:szCs w:val="20"/>
                <w:color w:val="auto"/>
              </w:rPr>
            </w:pPr>
            <w:r>
              <w:rPr>
                <w:rFonts w:ascii="Arial" w:cs="Arial" w:eastAsia="Arial" w:hAnsi="Arial"/>
                <w:sz w:val="18"/>
                <w:szCs w:val="18"/>
                <w:color w:val="auto"/>
              </w:rPr>
              <w:t>DATE:</w:t>
            </w:r>
          </w:p>
        </w:tc>
        <w:tc>
          <w:tcPr>
            <w:tcW w:w="5220" w:type="dxa"/>
            <w:vAlign w:val="bottom"/>
          </w:tcPr>
          <w:p>
            <w:pPr>
              <w:ind w:left="220"/>
              <w:spacing w:after="0"/>
              <w:rPr>
                <w:sz w:val="20"/>
                <w:szCs w:val="20"/>
                <w:color w:val="auto"/>
              </w:rPr>
            </w:pPr>
            <w:r>
              <w:rPr>
                <w:rFonts w:ascii="Arial" w:cs="Arial" w:eastAsia="Arial" w:hAnsi="Arial"/>
                <w:sz w:val="18"/>
                <w:szCs w:val="18"/>
                <w:color w:val="auto"/>
              </w:rPr>
              <w:t>January 30, 2020</w:t>
            </w:r>
          </w:p>
        </w:tc>
        <w:tc>
          <w:tcPr>
            <w:tcW w:w="5460" w:type="dxa"/>
            <w:vAlign w:val="bottom"/>
          </w:tcPr>
          <w:p>
            <w:pPr>
              <w:spacing w:after="0"/>
              <w:rPr>
                <w:sz w:val="24"/>
                <w:szCs w:val="24"/>
                <w:color w:val="auto"/>
              </w:rPr>
            </w:pPr>
          </w:p>
        </w:tc>
      </w:tr>
      <w:tr>
        <w:trPr>
          <w:trHeight w:val="594"/>
        </w:trPr>
        <w:tc>
          <w:tcPr>
            <w:tcW w:w="740" w:type="dxa"/>
            <w:vAlign w:val="bottom"/>
          </w:tcPr>
          <w:p>
            <w:pPr>
              <w:spacing w:after="0"/>
              <w:rPr>
                <w:sz w:val="24"/>
                <w:szCs w:val="24"/>
                <w:color w:val="auto"/>
              </w:rPr>
            </w:pPr>
          </w:p>
        </w:tc>
        <w:tc>
          <w:tcPr>
            <w:tcW w:w="5220" w:type="dxa"/>
            <w:vAlign w:val="bottom"/>
          </w:tcPr>
          <w:p>
            <w:pPr>
              <w:ind w:left="4680"/>
              <w:spacing w:after="0"/>
              <w:rPr>
                <w:sz w:val="20"/>
                <w:szCs w:val="20"/>
                <w:color w:val="auto"/>
              </w:rPr>
            </w:pPr>
            <w:r>
              <w:rPr>
                <w:rFonts w:ascii="Arial" w:cs="Arial" w:eastAsia="Arial" w:hAnsi="Arial"/>
                <w:sz w:val="18"/>
                <w:szCs w:val="18"/>
                <w:color w:val="auto"/>
              </w:rPr>
              <w:t>By</w:t>
            </w:r>
          </w:p>
        </w:tc>
        <w:tc>
          <w:tcPr>
            <w:tcW w:w="5460" w:type="dxa"/>
            <w:vAlign w:val="bottom"/>
          </w:tcPr>
          <w:p>
            <w:pPr>
              <w:jc w:val="center"/>
              <w:spacing w:after="0"/>
              <w:rPr>
                <w:sz w:val="20"/>
                <w:szCs w:val="20"/>
                <w:color w:val="auto"/>
              </w:rPr>
            </w:pPr>
            <w:r>
              <w:rPr>
                <w:rFonts w:ascii="Arial" w:cs="Arial" w:eastAsia="Arial" w:hAnsi="Arial"/>
                <w:sz w:val="18"/>
                <w:szCs w:val="18"/>
                <w:color w:val="auto"/>
                <w:w w:val="98"/>
              </w:rPr>
              <w:t>/s/ MICHAEL S. LEONARD</w:t>
            </w:r>
          </w:p>
        </w:tc>
      </w:tr>
      <w:tr>
        <w:trPr>
          <w:trHeight w:val="27"/>
        </w:trPr>
        <w:tc>
          <w:tcPr>
            <w:tcW w:w="7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Michael S. Leonard</w:t>
            </w:r>
          </w:p>
        </w:tc>
      </w:tr>
    </w:tbl>
    <w:p>
      <w:pPr>
        <w:spacing w:after="0" w:line="40"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Vice President and Chief Accounting Officer</w:t>
      </w:r>
    </w:p>
    <w:p>
      <w:pPr>
        <w:spacing w:after="0" w:line="2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10.1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Performance Share Unit Award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Fair Isaac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Long-Term Incentive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Share Unit Agreement</w:t>
      </w:r>
    </w:p>
    <w:p>
      <w:pPr>
        <w:spacing w:after="0" w:line="200" w:lineRule="exact"/>
        <w:rPr>
          <w:sz w:val="20"/>
          <w:szCs w:val="20"/>
          <w:color w:val="auto"/>
        </w:rPr>
      </w:pP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Performance Share Unit Award Agreement (this “Agreement”), dated December 10, 2019 (the “Grant Date”), is by and between *[Name] (the “Participant”), and Fair Isaac Corporation, a Delaware corporation (the “Company”). Any term capitalized but not defined in this Agreement will have the meaning set forth in the Company’s 2012 Long-Term Incentive Plan (the “Plan”).</w:t>
      </w:r>
    </w:p>
    <w:p>
      <w:pPr>
        <w:spacing w:after="0" w:line="2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the exercise of its discretion to grant Awards under the Plan, the Committee has determined that the Participant should receive an Award of performance share units under the Plan. This Award is subject to the following terms and conditions:</w:t>
      </w:r>
    </w:p>
    <w:p>
      <w:pPr>
        <w:spacing w:after="0" w:line="171" w:lineRule="exact"/>
        <w:rPr>
          <w:sz w:val="20"/>
          <w:szCs w:val="20"/>
          <w:color w:val="auto"/>
        </w:rPr>
      </w:pPr>
    </w:p>
    <w:p>
      <w:pPr>
        <w:jc w:val="both"/>
        <w:ind w:left="660" w:hanging="652"/>
        <w:spacing w:after="0" w:line="244" w:lineRule="auto"/>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Performance Share Units</w:t>
      </w:r>
      <w:r>
        <w:rPr>
          <w:rFonts w:ascii="Arial" w:cs="Arial" w:eastAsia="Arial" w:hAnsi="Arial"/>
          <w:sz w:val="20"/>
          <w:szCs w:val="20"/>
          <w:color w:val="auto"/>
        </w:rPr>
        <w:t>. The Company hereby grants to the Participant an Award consisting of performance share units</w:t>
      </w:r>
      <w:r>
        <w:rPr>
          <w:rFonts w:ascii="Arial" w:cs="Arial" w:eastAsia="Arial" w:hAnsi="Arial"/>
          <w:sz w:val="20"/>
          <w:szCs w:val="20"/>
          <w:b w:val="1"/>
          <w:bCs w:val="1"/>
          <w:color w:val="auto"/>
        </w:rPr>
        <w:t xml:space="preserve"> </w:t>
      </w:r>
      <w:r>
        <w:rPr>
          <w:rFonts w:ascii="Arial" w:cs="Arial" w:eastAsia="Arial" w:hAnsi="Arial"/>
          <w:sz w:val="20"/>
          <w:szCs w:val="20"/>
          <w:color w:val="auto"/>
        </w:rPr>
        <w:t>(the “Units”) in an amount initially equal to the Target Number of Units specified on Appendix A to this Agreement. The number of Units that may actually be earned and become eligible to vest pursuant to this Award can be between 0% and 200% of the Target Number of Units, but may not exceed the Maximum Number of Units specified on Appendix A to this Agreement. Each Unit that is earned pursuant to Section 3 of this Agreement and vests pursuant to Section 4 of this Agreement represents the right to receive one share of the Company’s common stock as provided in Section 7 of this Agreement. The Award will be subject to the terms and conditions of the Plan and this Agreement.</w:t>
      </w:r>
    </w:p>
    <w:p>
      <w:pPr>
        <w:spacing w:after="0" w:line="186" w:lineRule="exact"/>
        <w:rPr>
          <w:rFonts w:ascii="Arial" w:cs="Arial" w:eastAsia="Arial" w:hAnsi="Arial"/>
          <w:sz w:val="20"/>
          <w:szCs w:val="20"/>
          <w:color w:val="auto"/>
        </w:rPr>
      </w:pPr>
    </w:p>
    <w:p>
      <w:pPr>
        <w:jc w:val="both"/>
        <w:ind w:left="66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on Units</w:t>
      </w:r>
      <w:r>
        <w:rPr>
          <w:rFonts w:ascii="Arial" w:cs="Arial" w:eastAsia="Arial" w:hAnsi="Arial"/>
          <w:sz w:val="18"/>
          <w:szCs w:val="18"/>
          <w:color w:val="auto"/>
        </w:rPr>
        <w:t>. Neither this Award nor the Units subject to this Award may be sold, assigned, transferred, exchanged or</w:t>
      </w:r>
      <w:r>
        <w:rPr>
          <w:rFonts w:ascii="Arial" w:cs="Arial" w:eastAsia="Arial" w:hAnsi="Arial"/>
          <w:sz w:val="18"/>
          <w:szCs w:val="18"/>
          <w:b w:val="1"/>
          <w:bCs w:val="1"/>
          <w:color w:val="auto"/>
        </w:rPr>
        <w:t xml:space="preserve"> </w:t>
      </w:r>
      <w:r>
        <w:rPr>
          <w:rFonts w:ascii="Arial" w:cs="Arial" w:eastAsia="Arial" w:hAnsi="Arial"/>
          <w:sz w:val="18"/>
          <w:szCs w:val="18"/>
          <w:color w:val="auto"/>
        </w:rPr>
        <w:t>encumbered other than a transfer upon death in accordance with the Participant’s will, by the laws of descent and distribution or pursuant to a beneficiary designation submitted by the Participant in accordance with Section 6(d) of the Plan. Any attempted transfer in violation of this Section 2 shall be of no effect and may result in the forfeiture of all Units. The Units and the Participant’s right to receive Shares in settlement of the Units under this Agreement shall be subject to forfeiture as provided in this Agreement until satisfaction of the conditions for earning and vesting the Units as set forth in Section 3 and Section 4, respectively, of this Agreement.</w:t>
      </w:r>
    </w:p>
    <w:p>
      <w:pPr>
        <w:spacing w:after="0" w:line="160" w:lineRule="exact"/>
        <w:rPr>
          <w:rFonts w:ascii="Arial" w:cs="Arial" w:eastAsia="Arial" w:hAnsi="Arial"/>
          <w:sz w:val="18"/>
          <w:szCs w:val="18"/>
          <w:color w:val="auto"/>
        </w:rPr>
      </w:pPr>
    </w:p>
    <w:p>
      <w:pPr>
        <w:jc w:val="both"/>
        <w:ind w:left="660" w:hanging="652"/>
        <w:spacing w:after="0" w:line="28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Earned Units</w:t>
      </w:r>
      <w:r>
        <w:rPr>
          <w:rFonts w:ascii="Arial" w:cs="Arial" w:eastAsia="Arial" w:hAnsi="Arial"/>
          <w:sz w:val="18"/>
          <w:szCs w:val="18"/>
          <w:color w:val="auto"/>
        </w:rPr>
        <w:t>. Whether and to what degree the Units will be earned (the “Earned Units”) during the period starting on October 1, 2019</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ending on September 30, 2020 (the “Performance Period”) will be determined by whether and to what degree the Company has satisfied the applicable performance goal(s) for the Performance Period as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Agreement. Any Units that are not designated as Earned Units at the conclusion of the Performance Period in accordance with this Section 3 will be forfeited.</w:t>
      </w:r>
    </w:p>
    <w:p>
      <w:pPr>
        <w:spacing w:after="0" w:line="151" w:lineRule="exact"/>
        <w:rPr>
          <w:rFonts w:ascii="Arial" w:cs="Arial" w:eastAsia="Arial" w:hAnsi="Arial"/>
          <w:sz w:val="18"/>
          <w:szCs w:val="18"/>
          <w:color w:val="auto"/>
        </w:rPr>
      </w:pPr>
    </w:p>
    <w:p>
      <w:pPr>
        <w:jc w:val="both"/>
        <w:ind w:left="660" w:hanging="652"/>
        <w:spacing w:after="0" w:line="273" w:lineRule="auto"/>
        <w:tabs>
          <w:tab w:leader="none" w:pos="660" w:val="left"/>
        </w:tabs>
        <w:numPr>
          <w:ilvl w:val="0"/>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Vesting of Earned Units</w:t>
      </w:r>
      <w:r>
        <w:rPr>
          <w:rFonts w:ascii="Arial" w:cs="Arial" w:eastAsia="Arial" w:hAnsi="Arial"/>
          <w:sz w:val="19"/>
          <w:szCs w:val="19"/>
          <w:color w:val="auto"/>
        </w:rPr>
        <w:t>. Subject to Section 6 of this Agreement, if the Participant remains a Service Provider continuously from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 Date, then ⅓ of the Earned Units will vest on each of December 10, 2020, December 10, 2021 and December 10, 2022. The period from October 1, 2020 through December 10, 2022 is referred to as the “Vesting Period.”</w:t>
      </w:r>
    </w:p>
    <w:p>
      <w:pPr>
        <w:spacing w:after="0" w:line="159" w:lineRule="exact"/>
        <w:rPr>
          <w:rFonts w:ascii="Arial" w:cs="Arial" w:eastAsia="Arial" w:hAnsi="Arial"/>
          <w:sz w:val="19"/>
          <w:szCs w:val="19"/>
          <w:color w:val="auto"/>
        </w:rPr>
      </w:pPr>
    </w:p>
    <w:p>
      <w:pPr>
        <w:jc w:val="both"/>
        <w:ind w:left="660" w:hanging="652"/>
        <w:spacing w:after="0" w:line="245" w:lineRule="auto"/>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b w:val="1"/>
          <w:bCs w:val="1"/>
          <w:u w:val="single" w:color="auto"/>
          <w:color w:val="auto"/>
        </w:rPr>
        <w:t>Service Requirement</w:t>
      </w:r>
      <w:r>
        <w:rPr>
          <w:rFonts w:ascii="Arial" w:cs="Arial" w:eastAsia="Arial" w:hAnsi="Arial"/>
          <w:sz w:val="20"/>
          <w:szCs w:val="20"/>
          <w:color w:val="auto"/>
        </w:rPr>
        <w:t>. Except as otherwise provided in accordance with Section 6 of this Agreement, if you cease to be a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Provider prior to the vesting dates specified in Section 4 of this Agreement, you will forfeit all unvested Units. Your Service will be deemed continuing while you are on a leave of absence approved by the Company in writing or guaranteed by applicable law or other written agreement you have entered into with the Company (an “Approved Leave”). If you do not resume providing Service to the Company or any Affiliate following your Approved Leave, your Service will be deemed to have terminated upon the expiration of the Approved Leave.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10.1</w:t>
      </w:r>
    </w:p>
    <w:p>
      <w:pPr>
        <w:spacing w:after="0" w:line="21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Effect of Termination of Service or Change in Control.</w:t>
      </w:r>
    </w:p>
    <w:p>
      <w:pPr>
        <w:spacing w:after="0" w:line="221" w:lineRule="exact"/>
        <w:rPr>
          <w:rFonts w:ascii="Arial" w:cs="Arial" w:eastAsia="Arial" w:hAnsi="Arial"/>
          <w:sz w:val="20"/>
          <w:szCs w:val="20"/>
          <w:color w:val="auto"/>
        </w:rPr>
      </w:pPr>
    </w:p>
    <w:p>
      <w:pPr>
        <w:jc w:val="both"/>
        <w:ind w:left="660" w:firstLine="645"/>
        <w:spacing w:after="0" w:line="250" w:lineRule="auto"/>
        <w:tabs>
          <w:tab w:leader="none" w:pos="1762" w:val="left"/>
        </w:tabs>
        <w:numPr>
          <w:ilvl w:val="1"/>
          <w:numId w:val="33"/>
        </w:numPr>
        <w:rPr>
          <w:rFonts w:ascii="Arial" w:cs="Arial" w:eastAsia="Arial" w:hAnsi="Arial"/>
          <w:sz w:val="20"/>
          <w:szCs w:val="20"/>
          <w:color w:val="auto"/>
        </w:rPr>
      </w:pPr>
      <w:r>
        <w:rPr>
          <w:rFonts w:ascii="Arial" w:cs="Arial" w:eastAsia="Arial" w:hAnsi="Arial"/>
          <w:sz w:val="20"/>
          <w:szCs w:val="20"/>
          <w:color w:val="auto"/>
        </w:rPr>
        <w:t>Except as may be provided under the remainder of this Section 6, upon termination of Service during the Performance Period for any reason other than retirement in accordance with the Retirement Conditions, death or Disability, all Units will be immediately forfeited without consideration.</w:t>
      </w:r>
    </w:p>
    <w:p>
      <w:pPr>
        <w:spacing w:after="0" w:line="186" w:lineRule="exact"/>
        <w:rPr>
          <w:rFonts w:ascii="Arial" w:cs="Arial" w:eastAsia="Arial" w:hAnsi="Arial"/>
          <w:sz w:val="20"/>
          <w:szCs w:val="20"/>
          <w:color w:val="auto"/>
        </w:rPr>
      </w:pPr>
    </w:p>
    <w:p>
      <w:pPr>
        <w:jc w:val="both"/>
        <w:ind w:left="660" w:firstLine="645"/>
        <w:spacing w:after="0" w:line="272" w:lineRule="auto"/>
        <w:tabs>
          <w:tab w:leader="none" w:pos="1787" w:val="left"/>
        </w:tabs>
        <w:numPr>
          <w:ilvl w:val="1"/>
          <w:numId w:val="33"/>
        </w:numPr>
        <w:rPr>
          <w:rFonts w:ascii="Arial" w:cs="Arial" w:eastAsia="Arial" w:hAnsi="Arial"/>
          <w:sz w:val="18"/>
          <w:szCs w:val="18"/>
          <w:color w:val="auto"/>
        </w:rPr>
      </w:pPr>
      <w:r>
        <w:rPr>
          <w:rFonts w:ascii="Arial" w:cs="Arial" w:eastAsia="Arial" w:hAnsi="Arial"/>
          <w:sz w:val="18"/>
          <w:szCs w:val="18"/>
          <w:color w:val="auto"/>
        </w:rPr>
        <w:t>Upon (i) termination of Service during the Performance Period due to death or Disability, the Target Number of Units subject to this Award will be deemed Earned Units and will vest in full upon such termination, or (ii) a Change in Control during the Performance Period as a result of which the Company does not survive as an operating company or survives only as a subsidiary of another entity (a “Business Combination”), the Target Number of Units subject to this Award will be deemed Earned Units and will vest in full upon or immediately before, and conditioned upon, the consummation of the Business Combination. Any remaining Units that do not vest as provided in this Section 6(b) will be immediately forfeited without consideration. In connection with a Change in Control during the Performance Period that is not a Business Combination, the Committee may provide in its discretion that the Target Number of Units subject to this Award will be deemed Earned Units and will vest in full upon the occurrence of the Change in Control or upon the termination of the Participant’s Service as an employee within 12 months following the Change in Control.</w:t>
      </w:r>
    </w:p>
    <w:p>
      <w:pPr>
        <w:spacing w:after="0" w:line="171" w:lineRule="exact"/>
        <w:rPr>
          <w:rFonts w:ascii="Arial" w:cs="Arial" w:eastAsia="Arial" w:hAnsi="Arial"/>
          <w:sz w:val="18"/>
          <w:szCs w:val="18"/>
          <w:color w:val="auto"/>
        </w:rPr>
      </w:pPr>
    </w:p>
    <w:p>
      <w:pPr>
        <w:jc w:val="both"/>
        <w:ind w:left="660" w:firstLine="645"/>
        <w:spacing w:after="0" w:line="250" w:lineRule="auto"/>
        <w:tabs>
          <w:tab w:leader="none" w:pos="1789" w:val="left"/>
        </w:tabs>
        <w:numPr>
          <w:ilvl w:val="1"/>
          <w:numId w:val="33"/>
        </w:numPr>
        <w:rPr>
          <w:rFonts w:ascii="Arial" w:cs="Arial" w:eastAsia="Arial" w:hAnsi="Arial"/>
          <w:sz w:val="20"/>
          <w:szCs w:val="20"/>
          <w:color w:val="auto"/>
        </w:rPr>
      </w:pPr>
      <w:r>
        <w:rPr>
          <w:rFonts w:ascii="Arial" w:cs="Arial" w:eastAsia="Arial" w:hAnsi="Arial"/>
          <w:sz w:val="20"/>
          <w:szCs w:val="20"/>
          <w:color w:val="auto"/>
        </w:rPr>
        <w:t>Except as may be provided by the Committee pursuant to Section 6(e) or (f), upon termination of Service during the Vesting Period for any reason other than retirement in accordance with the Retirement Conditions, death or Disability, all Earned Units that have not vested will be immediately forfeited without consideration.</w:t>
      </w:r>
    </w:p>
    <w:p>
      <w:pPr>
        <w:spacing w:after="0" w:line="199" w:lineRule="exact"/>
        <w:rPr>
          <w:rFonts w:ascii="Arial" w:cs="Arial" w:eastAsia="Arial" w:hAnsi="Arial"/>
          <w:sz w:val="20"/>
          <w:szCs w:val="20"/>
          <w:color w:val="auto"/>
        </w:rPr>
      </w:pPr>
    </w:p>
    <w:p>
      <w:pPr>
        <w:jc w:val="both"/>
        <w:ind w:left="660" w:firstLine="645"/>
        <w:spacing w:after="0" w:line="243" w:lineRule="auto"/>
        <w:tabs>
          <w:tab w:leader="none" w:pos="1719" w:val="left"/>
        </w:tabs>
        <w:numPr>
          <w:ilvl w:val="1"/>
          <w:numId w:val="33"/>
        </w:numPr>
        <w:rPr>
          <w:rFonts w:ascii="Arial" w:cs="Arial" w:eastAsia="Arial" w:hAnsi="Arial"/>
          <w:sz w:val="20"/>
          <w:szCs w:val="20"/>
          <w:color w:val="auto"/>
        </w:rPr>
      </w:pPr>
      <w:r>
        <w:rPr>
          <w:rFonts w:ascii="Arial" w:cs="Arial" w:eastAsia="Arial" w:hAnsi="Arial"/>
          <w:sz w:val="20"/>
          <w:szCs w:val="20"/>
          <w:color w:val="auto"/>
        </w:rPr>
        <w:t>Upon (i) termination of Service during the Vesting Period due to death or Disability, all Earned Units will vest in full upon such termination, or (ii) a Business Combination during the Vesting Period, all Earned Units will vest in full upon or immediately before, and conditioned upon, the consummation of the Business Combination. In connection with a Change in Control during the Vesting Period that is not a Business Combination, the Committee may provide in its discretion that all Earned Units will vest in full upon the occurrence of the Change in Control or upon the termination of the Participant’s Service as an employee within 12 months following the Change in Control.</w:t>
      </w:r>
    </w:p>
    <w:p>
      <w:pPr>
        <w:spacing w:after="0" w:line="196" w:lineRule="exact"/>
        <w:rPr>
          <w:rFonts w:ascii="Arial" w:cs="Arial" w:eastAsia="Arial" w:hAnsi="Arial"/>
          <w:sz w:val="20"/>
          <w:szCs w:val="20"/>
          <w:color w:val="auto"/>
        </w:rPr>
      </w:pPr>
    </w:p>
    <w:p>
      <w:pPr>
        <w:jc w:val="both"/>
        <w:ind w:left="660" w:firstLine="645"/>
        <w:spacing w:after="0" w:line="255" w:lineRule="auto"/>
        <w:tabs>
          <w:tab w:leader="none" w:pos="1789" w:val="left"/>
        </w:tabs>
        <w:numPr>
          <w:ilvl w:val="1"/>
          <w:numId w:val="33"/>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the Units shall continue to be earned in accordance with Section 3 of this Agreement and vest over the Vesting Period in accordance with Section 4 of this Agreement if your Service to the Company or any Affiliate terminates because of your Retirement and the following conditions are satisfied: (i) you commenced discussions with the Company’s Chief Executive Officer or most senior human resources executive regarding your retirement from Service at least 12 full months prior to the date your Service terminates (the “Retirement Date”) and (ii) during the period beginning on your Retirement Date and ending on the final day of the Vesting Period, you: (a) continue to be available to provide Service as requested and (b) do not become employed by or otherwise provide paid services to any other entity or organization; provided, however, that you may be permitted to serve as an independent director on a board of directors for an entity that are not competitive with the Company’s business so long as any such service as an independent director is reviewed and approved in advance by the Committee. For the avoidance of doubt, if you fail to comply with the conditions in this Section 6(e), you will forfeit all unvested Earned Units.</w:t>
      </w:r>
    </w:p>
    <w:p>
      <w:pPr>
        <w:spacing w:after="0" w:line="188"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For purposes of this Agreement, “Retirement” means the termination of your employment (i) when you are age 55 or older and have at least five years of continuous Service as an employee (which must be immediately preceding the date of termination) and (ii) the sum of your age as of the date of your termination plus your years of Service as an employee equals at least 75. Any Units that vest pursuant to this Section 6(e) shall be paid to you not later than 74 days after the applicable vesting date of the Units as specified in Section 4 of this Agreement.</w:t>
      </w:r>
    </w:p>
    <w:p>
      <w:pPr>
        <w:spacing w:after="0" w:line="189" w:lineRule="exact"/>
        <w:rPr>
          <w:sz w:val="20"/>
          <w:szCs w:val="20"/>
          <w:color w:val="auto"/>
        </w:rPr>
      </w:pPr>
    </w:p>
    <w:p>
      <w:pPr>
        <w:ind w:left="660" w:right="20" w:hanging="652"/>
        <w:spacing w:after="0" w:line="267"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Settlement of Units</w:t>
      </w:r>
      <w:r>
        <w:rPr>
          <w:rFonts w:ascii="Arial" w:cs="Arial" w:eastAsia="Arial" w:hAnsi="Arial"/>
          <w:sz w:val="20"/>
          <w:szCs w:val="20"/>
          <w:color w:val="auto"/>
        </w:rPr>
        <w:t>. After any Units vest pursuant to Section 4 or Section 6 of this Agreement, the Company shall, as soon as</w:t>
      </w:r>
      <w:r>
        <w:rPr>
          <w:rFonts w:ascii="Arial" w:cs="Arial" w:eastAsia="Arial" w:hAnsi="Arial"/>
          <w:sz w:val="20"/>
          <w:szCs w:val="20"/>
          <w:b w:val="1"/>
          <w:bCs w:val="1"/>
          <w:color w:val="auto"/>
        </w:rPr>
        <w:t xml:space="preserve"> </w:t>
      </w:r>
      <w:r>
        <w:rPr>
          <w:rFonts w:ascii="Arial" w:cs="Arial" w:eastAsia="Arial" w:hAnsi="Arial"/>
          <w:sz w:val="20"/>
          <w:szCs w:val="20"/>
          <w:color w:val="auto"/>
        </w:rPr>
        <w:t>practicable (but in any event within the period specified in Treas. Reg. § 1.409A-1(b)(4)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4" w:name="page55"/>
    <w:bookmarkEnd w:id="54"/>
    <w:p>
      <w:pPr>
        <w:ind w:left="10540"/>
        <w:spacing w:after="0"/>
        <w:rPr>
          <w:sz w:val="20"/>
          <w:szCs w:val="20"/>
          <w:color w:val="auto"/>
        </w:rPr>
      </w:pPr>
      <w:r>
        <w:rPr>
          <w:rFonts w:ascii="Arial" w:cs="Arial" w:eastAsia="Arial" w:hAnsi="Arial"/>
          <w:sz w:val="16"/>
          <w:szCs w:val="16"/>
          <w:color w:val="auto"/>
        </w:rPr>
        <w:t>Exhibit 10.1</w:t>
      </w:r>
    </w:p>
    <w:p>
      <w:pPr>
        <w:spacing w:after="0" w:line="246"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qualify for a short-term deferral exception to Section 409A of the Code), cause to be issued and delivered to the Participant, or to the Participant’s designated beneficiary or estate in the event of the Participant’s death, one Share in payment and settlement of each vested Unit (the date of each such issuance being a “Settlement Date”). After any Units vest pursuant to Section 6(e) of this Agreement, the Company shall, as soon as practicable (but in any event within the period specified in Treas. Reg. § 1.409A-3(d)), cause to be issued and delivered to you, one Share in payment and settlement of each vested Unit. Delivery of the Shares shall be effected by the electronic delivery of the Shares to a brokerage account maintained for the Participant at E*TRADE (or another broker designated by the Company or the Participant), or by another method provided by the Company, and shall be subject to the tax withholding provisions of Section 8 of this Agreement and compliance with all applicable legal requirements, including compliance with the requirements of applicable federal and state securities laws, and shall be in complete satisfaction and settlement of such vested Units. Notwithstanding the foregoing, the Committee may provide that the settlement of any Earned Units that vest in accordance with Section 6(b)(ii) or 6(d)</w:t>
      </w:r>
    </w:p>
    <w:p>
      <w:pPr>
        <w:spacing w:after="0" w:line="183"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(ii) of this Agreement will be made in the amount and in the form of the consideration (whether stock, cash, other securities or property, or a combination thereof) to which a holder of a Share was entitled upon the consummation of the Business Combination (without interest thereon) (and if holders were offered a choice of consideration, the type of consideration chosen by the holders of a majority of the outstanding Shares).</w:t>
      </w:r>
    </w:p>
    <w:p>
      <w:pPr>
        <w:spacing w:after="0" w:line="176" w:lineRule="exact"/>
        <w:rPr>
          <w:sz w:val="20"/>
          <w:szCs w:val="20"/>
          <w:color w:val="auto"/>
        </w:rPr>
      </w:pPr>
    </w:p>
    <w:p>
      <w:pPr>
        <w:jc w:val="both"/>
        <w:ind w:left="660" w:hanging="652"/>
        <w:spacing w:after="0" w:line="253"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b w:val="1"/>
          <w:bCs w:val="1"/>
          <w:u w:val="single" w:color="auto"/>
          <w:color w:val="auto"/>
        </w:rPr>
        <w:t>Tax Consequences and Withholding</w:t>
      </w:r>
      <w:r>
        <w:rPr>
          <w:rFonts w:ascii="Arial" w:cs="Arial" w:eastAsia="Arial" w:hAnsi="Arial"/>
          <w:sz w:val="20"/>
          <w:szCs w:val="20"/>
          <w:color w:val="auto"/>
        </w:rPr>
        <w:t>. As a condition precedent to the settlement of the Units, the Participant is required to make</w:t>
      </w:r>
      <w:r>
        <w:rPr>
          <w:rFonts w:ascii="Arial" w:cs="Arial" w:eastAsia="Arial" w:hAnsi="Arial"/>
          <w:sz w:val="20"/>
          <w:szCs w:val="20"/>
          <w:b w:val="1"/>
          <w:bCs w:val="1"/>
          <w:color w:val="auto"/>
        </w:rPr>
        <w:t xml:space="preserve"> </w:t>
      </w:r>
      <w:r>
        <w:rPr>
          <w:rFonts w:ascii="Arial" w:cs="Arial" w:eastAsia="Arial" w:hAnsi="Arial"/>
          <w:sz w:val="20"/>
          <w:szCs w:val="20"/>
          <w:color w:val="auto"/>
        </w:rPr>
        <w:t>arrangements acceptable to the Company for payment of any federal, state or local withholding taxes that may be due as a result of the settlement of the Units (“Withholding Taxes”), in accordance with Section 15 of the Plan.</w:t>
      </w:r>
    </w:p>
    <w:p>
      <w:pPr>
        <w:spacing w:after="0" w:line="184"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8"/>
          <w:szCs w:val="18"/>
          <w:color w:val="auto"/>
        </w:rPr>
        <w:t>Until such time as the Company provides notice to the contrary, it will collect the Withholding Taxes through an automatic Share withholding procedure (the “Share Withholding Method”), unless other arrangements acceptable to the Company have been made. Under such procedure, the Company or its agent will withhold, upon the tax withholding event, a portion of the Shares with a Fair Market Value (measured as of such date) sufficient to cover the amount of such taxes; provided, however, that the number of any Shares so withheld shall not exceed the number necessary to satisfy the Company’s required tax withholding obligations using the minimum statutory withholding rates for federal, state and local tax purposes that are applicable to supplemental taxable income.</w:t>
      </w:r>
    </w:p>
    <w:p>
      <w:pPr>
        <w:spacing w:after="0" w:line="165"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In the event that the Committee determines that the Share Withholding Method would be problematic under applicable tax or securities laws or would result in materially adverse accounting consequences, you authorize the Company to collect Withholding Taxes through one of the following methods:</w:t>
      </w:r>
    </w:p>
    <w:p>
      <w:pPr>
        <w:spacing w:after="0" w:line="186" w:lineRule="exact"/>
        <w:rPr>
          <w:sz w:val="20"/>
          <w:szCs w:val="20"/>
          <w:color w:val="auto"/>
        </w:rPr>
      </w:pPr>
    </w:p>
    <w:p>
      <w:pPr>
        <w:ind w:left="660" w:firstLine="645"/>
        <w:spacing w:after="0" w:line="287" w:lineRule="auto"/>
        <w:tabs>
          <w:tab w:leader="none" w:pos="1722" w:val="left"/>
        </w:tabs>
        <w:numPr>
          <w:ilvl w:val="1"/>
          <w:numId w:val="36"/>
        </w:numPr>
        <w:rPr>
          <w:rFonts w:ascii="Arial" w:cs="Arial" w:eastAsia="Arial" w:hAnsi="Arial"/>
          <w:sz w:val="19"/>
          <w:szCs w:val="19"/>
          <w:color w:val="auto"/>
        </w:rPr>
      </w:pPr>
      <w:r>
        <w:rPr>
          <w:rFonts w:ascii="Arial" w:cs="Arial" w:eastAsia="Arial" w:hAnsi="Arial"/>
          <w:sz w:val="19"/>
          <w:szCs w:val="19"/>
          <w:color w:val="auto"/>
        </w:rPr>
        <w:t>delivery of the Participant’s authorization to E*TRADE (or another broker designated by the Company or the Participant) to transfer to the Company from the Participant’s account at such broker the amount of such Withholding Taxes;</w:t>
      </w:r>
    </w:p>
    <w:p>
      <w:pPr>
        <w:spacing w:after="0" w:line="152" w:lineRule="exact"/>
        <w:rPr>
          <w:rFonts w:ascii="Arial" w:cs="Arial" w:eastAsia="Arial" w:hAnsi="Arial"/>
          <w:sz w:val="19"/>
          <w:szCs w:val="19"/>
          <w:color w:val="auto"/>
        </w:rPr>
      </w:pPr>
    </w:p>
    <w:p>
      <w:pPr>
        <w:jc w:val="both"/>
        <w:ind w:left="660" w:firstLine="645"/>
        <w:spacing w:after="0" w:line="246" w:lineRule="auto"/>
        <w:tabs>
          <w:tab w:leader="none" w:pos="1854"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use of the proceeds from a next-day sale of the Shares issued to the Participant, provided that (i) such sale is permissible under the Company’s trading policies governing its securities, (ii) the Participant makes an irrevocable commitment, on or before a Settlement Date, to effect such sale of the Shares, and (iii) the transaction is not otherwise deemed to constitute a prohibited loan under Section 402 of the Sarbanes-Oxley Act of 2002; or</w:t>
      </w:r>
    </w:p>
    <w:p>
      <w:pPr>
        <w:spacing w:after="0" w:line="191" w:lineRule="exact"/>
        <w:rPr>
          <w:rFonts w:ascii="Arial" w:cs="Arial" w:eastAsia="Arial" w:hAnsi="Arial"/>
          <w:sz w:val="20"/>
          <w:szCs w:val="20"/>
          <w:color w:val="auto"/>
        </w:rPr>
      </w:pPr>
    </w:p>
    <w:p>
      <w:pPr>
        <w:ind w:left="1700" w:hanging="395"/>
        <w:spacing w:after="0"/>
        <w:tabs>
          <w:tab w:leader="none" w:pos="1700"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other method approved by the Company.</w:t>
      </w:r>
    </w:p>
    <w:p>
      <w:pPr>
        <w:spacing w:after="0" w:line="209" w:lineRule="exact"/>
        <w:rPr>
          <w:rFonts w:ascii="Arial" w:cs="Arial" w:eastAsia="Arial" w:hAnsi="Arial"/>
          <w:sz w:val="20"/>
          <w:szCs w:val="20"/>
          <w:color w:val="auto"/>
        </w:rPr>
      </w:pPr>
    </w:p>
    <w:p>
      <w:pPr>
        <w:jc w:val="both"/>
        <w:ind w:left="660" w:hanging="652"/>
        <w:spacing w:after="0" w:line="248" w:lineRule="auto"/>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b w:val="1"/>
          <w:bCs w:val="1"/>
          <w:u w:val="single" w:color="auto"/>
          <w:color w:val="auto"/>
        </w:rPr>
        <w:t>No Shareholder Rights</w:t>
      </w:r>
      <w:r>
        <w:rPr>
          <w:rFonts w:ascii="Arial" w:cs="Arial" w:eastAsia="Arial" w:hAnsi="Arial"/>
          <w:sz w:val="20"/>
          <w:szCs w:val="20"/>
          <w:color w:val="auto"/>
        </w:rPr>
        <w:t>. The Units subject to this Award do not entitle the Participant to any rights of a shareholder of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The Participant will not have any of the rights of a shareholder of the Company in connection with the grant of Units subject to this Agreement unless and until Shares are issued to the Participant upon settlement of the Units as provided in Section 7 of this Agreement.</w:t>
      </w:r>
    </w:p>
    <w:p>
      <w:pPr>
        <w:spacing w:after="0" w:line="183" w:lineRule="exact"/>
        <w:rPr>
          <w:rFonts w:ascii="Arial" w:cs="Arial" w:eastAsia="Arial" w:hAnsi="Arial"/>
          <w:sz w:val="20"/>
          <w:szCs w:val="20"/>
          <w:color w:val="auto"/>
        </w:rPr>
      </w:pPr>
    </w:p>
    <w:p>
      <w:pPr>
        <w:ind w:left="660" w:hanging="652"/>
        <w:spacing w:after="0"/>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Plan Document</w:t>
      </w:r>
      <w:r>
        <w:rPr>
          <w:rFonts w:ascii="Arial" w:cs="Arial" w:eastAsia="Arial" w:hAnsi="Arial"/>
          <w:sz w:val="20"/>
          <w:szCs w:val="20"/>
          <w:color w:val="auto"/>
        </w:rPr>
        <w:t>. This Agreement and the Award are subject to all the provisions of the Plan,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5" w:name="page56"/>
    <w:bookmarkEnd w:id="55"/>
    <w:p>
      <w:pPr>
        <w:ind w:left="10532"/>
        <w:spacing w:after="0"/>
        <w:rPr>
          <w:sz w:val="20"/>
          <w:szCs w:val="20"/>
          <w:color w:val="auto"/>
        </w:rPr>
      </w:pPr>
      <w:r>
        <w:rPr>
          <w:rFonts w:ascii="Arial" w:cs="Arial" w:eastAsia="Arial" w:hAnsi="Arial"/>
          <w:sz w:val="16"/>
          <w:szCs w:val="16"/>
          <w:color w:val="auto"/>
        </w:rPr>
        <w:t>Exhibit 10.1</w:t>
      </w:r>
    </w:p>
    <w:p>
      <w:pPr>
        <w:spacing w:after="0" w:line="246" w:lineRule="exact"/>
        <w:rPr>
          <w:sz w:val="20"/>
          <w:szCs w:val="20"/>
          <w:color w:val="auto"/>
        </w:rPr>
      </w:pPr>
    </w:p>
    <w:p>
      <w:pPr>
        <w:jc w:val="both"/>
        <w:ind w:left="652"/>
        <w:spacing w:after="0" w:line="300" w:lineRule="auto"/>
        <w:rPr>
          <w:sz w:val="20"/>
          <w:szCs w:val="20"/>
          <w:color w:val="auto"/>
        </w:rPr>
      </w:pPr>
      <w:r>
        <w:rPr>
          <w:rFonts w:ascii="Arial" w:cs="Arial" w:eastAsia="Arial" w:hAnsi="Arial"/>
          <w:sz w:val="18"/>
          <w:szCs w:val="18"/>
          <w:color w:val="auto"/>
        </w:rPr>
        <w:t>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25" w:lineRule="exact"/>
        <w:rPr>
          <w:sz w:val="20"/>
          <w:szCs w:val="20"/>
          <w:color w:val="auto"/>
        </w:rPr>
      </w:pPr>
    </w:p>
    <w:p>
      <w:pPr>
        <w:ind w:left="652" w:hanging="652"/>
        <w:spacing w:after="0" w:line="267" w:lineRule="auto"/>
        <w:tabs>
          <w:tab w:leader="none" w:pos="652"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Choice of Law</w:t>
      </w:r>
      <w:r>
        <w:rPr>
          <w:rFonts w:ascii="Arial" w:cs="Arial" w:eastAsia="Arial" w:hAnsi="Arial"/>
          <w:sz w:val="20"/>
          <w:szCs w:val="20"/>
          <w:color w:val="auto"/>
        </w:rPr>
        <w:t>. This Agreement will be interpreted and enforced under the laws of the state of Minnesota (without regard to its</w:t>
      </w:r>
      <w:r>
        <w:rPr>
          <w:rFonts w:ascii="Arial" w:cs="Arial" w:eastAsia="Arial" w:hAnsi="Arial"/>
          <w:sz w:val="20"/>
          <w:szCs w:val="20"/>
          <w:b w:val="1"/>
          <w:bCs w:val="1"/>
          <w:color w:val="auto"/>
        </w:rPr>
        <w:t xml:space="preserve"> </w:t>
      </w:r>
      <w:r>
        <w:rPr>
          <w:rFonts w:ascii="Arial" w:cs="Arial" w:eastAsia="Arial" w:hAnsi="Arial"/>
          <w:sz w:val="20"/>
          <w:szCs w:val="20"/>
          <w:color w:val="auto"/>
        </w:rPr>
        <w:t>conflicts or choice of law principles).</w:t>
      </w:r>
    </w:p>
    <w:p>
      <w:pPr>
        <w:spacing w:after="0" w:line="163" w:lineRule="exact"/>
        <w:rPr>
          <w:rFonts w:ascii="Arial" w:cs="Arial" w:eastAsia="Arial" w:hAnsi="Arial"/>
          <w:sz w:val="20"/>
          <w:szCs w:val="20"/>
          <w:color w:val="auto"/>
        </w:rPr>
      </w:pPr>
    </w:p>
    <w:p>
      <w:pPr>
        <w:ind w:left="652" w:hanging="652"/>
        <w:spacing w:after="0" w:line="267" w:lineRule="auto"/>
        <w:tabs>
          <w:tab w:leader="none" w:pos="652"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Agreement will be binding in all respects on the Participant’s heirs, representatives, successors and assigns, and</w:t>
      </w:r>
      <w:r>
        <w:rPr>
          <w:rFonts w:ascii="Arial" w:cs="Arial" w:eastAsia="Arial" w:hAnsi="Arial"/>
          <w:sz w:val="20"/>
          <w:szCs w:val="20"/>
          <w:b w:val="1"/>
          <w:bCs w:val="1"/>
          <w:color w:val="auto"/>
        </w:rPr>
        <w:t xml:space="preserve"> </w:t>
      </w:r>
      <w:r>
        <w:rPr>
          <w:rFonts w:ascii="Arial" w:cs="Arial" w:eastAsia="Arial" w:hAnsi="Arial"/>
          <w:sz w:val="20"/>
          <w:szCs w:val="20"/>
          <w:color w:val="auto"/>
        </w:rPr>
        <w:t>on the successors and assigns of the Company.</w:t>
      </w:r>
    </w:p>
    <w:p>
      <w:pPr>
        <w:spacing w:after="0" w:line="163" w:lineRule="exact"/>
        <w:rPr>
          <w:rFonts w:ascii="Arial" w:cs="Arial" w:eastAsia="Arial" w:hAnsi="Arial"/>
          <w:sz w:val="20"/>
          <w:szCs w:val="20"/>
          <w:color w:val="auto"/>
        </w:rPr>
      </w:pPr>
    </w:p>
    <w:p>
      <w:pPr>
        <w:jc w:val="both"/>
        <w:ind w:left="652" w:hanging="652"/>
        <w:spacing w:after="0" w:line="253" w:lineRule="auto"/>
        <w:tabs>
          <w:tab w:leader="none" w:pos="652"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Discontinuance of Service</w:t>
      </w:r>
      <w:r>
        <w:rPr>
          <w:rFonts w:ascii="Arial" w:cs="Arial" w:eastAsia="Arial" w:hAnsi="Arial"/>
          <w:sz w:val="20"/>
          <w:szCs w:val="20"/>
          <w:color w:val="auto"/>
        </w:rPr>
        <w:t>. This Agreement does not give the Participant a right to continued Service with the Company or any</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and the Company or any such Affiliate may terminate the Participant’s Service at any time and otherwise deal with the Participant without regard to the effect it may have upon the Participant under this Agreement.</w:t>
      </w:r>
    </w:p>
    <w:p>
      <w:pPr>
        <w:spacing w:after="0" w:line="177" w:lineRule="exact"/>
        <w:rPr>
          <w:rFonts w:ascii="Arial" w:cs="Arial" w:eastAsia="Arial" w:hAnsi="Arial"/>
          <w:sz w:val="20"/>
          <w:szCs w:val="20"/>
          <w:color w:val="auto"/>
        </w:rPr>
      </w:pPr>
    </w:p>
    <w:p>
      <w:pPr>
        <w:jc w:val="both"/>
        <w:ind w:left="652" w:hanging="652"/>
        <w:spacing w:after="0" w:line="246" w:lineRule="auto"/>
        <w:tabs>
          <w:tab w:leader="none" w:pos="652"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of the Code</w:t>
      </w:r>
      <w:r>
        <w:rPr>
          <w:rFonts w:ascii="Arial" w:cs="Arial" w:eastAsia="Arial" w:hAnsi="Arial"/>
          <w:sz w:val="20"/>
          <w:szCs w:val="20"/>
          <w:color w:val="auto"/>
        </w:rPr>
        <w:t>. The Units as provided in this Agreement and any issuance of Shares or payment pursuant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are intended to either be exempt from or comply with Section 409A of the Code so as not to subject you to payment of any additional tax, penalty or interest imposed under Section 409A of the Code. The provisions of this Agreement shall be construed and interpreted to avoid the imputation of any such additional tax, penalty or interest under Section 409A of the Code yet preserve (to the nearest extent reasonably possible) the intended benefit payable to you.</w:t>
      </w:r>
    </w:p>
    <w:p>
      <w:pPr>
        <w:spacing w:after="0" w:line="185" w:lineRule="exact"/>
        <w:rPr>
          <w:rFonts w:ascii="Arial" w:cs="Arial" w:eastAsia="Arial" w:hAnsi="Arial"/>
          <w:sz w:val="20"/>
          <w:szCs w:val="20"/>
          <w:color w:val="auto"/>
        </w:rPr>
      </w:pPr>
    </w:p>
    <w:p>
      <w:pPr>
        <w:jc w:val="both"/>
        <w:ind w:left="652" w:hanging="652"/>
        <w:spacing w:after="0" w:line="260" w:lineRule="auto"/>
        <w:tabs>
          <w:tab w:leader="none" w:pos="652"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Compensation Recovery Policy</w:t>
      </w:r>
      <w:r>
        <w:rPr>
          <w:rFonts w:ascii="Arial" w:cs="Arial" w:eastAsia="Arial" w:hAnsi="Arial"/>
          <w:sz w:val="19"/>
          <w:szCs w:val="19"/>
          <w:color w:val="auto"/>
        </w:rPr>
        <w:t>. To the extent that any compensation paid or payable pursuant to this Agreement is considered</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“incentive-based compensation” within the meaning of (i) the Company’s Executive Officer Incentive Compensation Recovery Policy, (ii) any similar or superseding policy adopted by the Board or any committee thereof or (iii) Section 10D of the Exchange Act and any implementing rules and regulations thereunder adopted by the Securities and Exchange Commission or any national securities exchange on which the Company’s common stock is then listed, such compensation shall be subject to potential forfeiture or recovery by the Company in accordance with such policies, laws, rules or regulations.</w:t>
      </w:r>
    </w:p>
    <w:p>
      <w:pPr>
        <w:spacing w:after="0" w:line="396" w:lineRule="exact"/>
        <w:rPr>
          <w:sz w:val="20"/>
          <w:szCs w:val="20"/>
          <w:color w:val="auto"/>
        </w:rPr>
      </w:pPr>
    </w:p>
    <w:p>
      <w:pPr>
        <w:ind w:left="492" w:hanging="485"/>
        <w:spacing w:after="0" w:line="260" w:lineRule="auto"/>
        <w:rPr>
          <w:sz w:val="20"/>
          <w:szCs w:val="20"/>
          <w:color w:val="auto"/>
        </w:rPr>
      </w:pPr>
      <w:r>
        <w:rPr>
          <w:rFonts w:ascii="Arial" w:cs="Arial" w:eastAsia="Arial" w:hAnsi="Arial"/>
          <w:sz w:val="20"/>
          <w:szCs w:val="20"/>
          <w:b w:val="1"/>
          <w:bCs w:val="1"/>
          <w:i w:val="1"/>
          <w:iCs w:val="1"/>
          <w:color w:val="auto"/>
        </w:rPr>
        <w:t>By executing this Agreement, the Participant accepts this Award and agrees to all the terms and conditions described in this Agreement and in the Plan document.</w:t>
      </w:r>
    </w:p>
    <w:p>
      <w:pPr>
        <w:sectPr>
          <w:pgSz w:w="11900" w:h="16838" w:orient="portrait"/>
          <w:cols w:equalWidth="0" w:num="1">
            <w:col w:w="11412"/>
          </w:cols>
          <w:pgMar w:left="248" w:top="125" w:right="2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52"/>
        <w:spacing w:after="0"/>
        <w:rPr>
          <w:sz w:val="20"/>
          <w:szCs w:val="20"/>
          <w:color w:val="auto"/>
        </w:rPr>
      </w:pPr>
      <w:r>
        <w:rPr>
          <w:rFonts w:ascii="Arial" w:cs="Arial" w:eastAsia="Arial" w:hAnsi="Arial"/>
          <w:sz w:val="16"/>
          <w:szCs w:val="16"/>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FAIR ISAAC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Title:_____________________________________</w:t>
      </w:r>
    </w:p>
    <w:p>
      <w:pPr>
        <w:spacing w:after="0" w:line="200" w:lineRule="exact"/>
        <w:rPr>
          <w:sz w:val="20"/>
          <w:szCs w:val="20"/>
          <w:color w:val="auto"/>
        </w:rPr>
      </w:pPr>
    </w:p>
    <w:p>
      <w:pPr>
        <w:sectPr>
          <w:pgSz w:w="11900" w:h="16838" w:orient="portrait"/>
          <w:cols w:equalWidth="0" w:num="2">
            <w:col w:w="4692" w:space="720"/>
            <w:col w:w="6000"/>
          </w:cols>
          <w:pgMar w:left="248" w:top="125" w:right="239" w:bottom="1440" w:gutter="0" w:footer="0" w:header="0"/>
          <w:type w:val="continuous"/>
        </w:sectPr>
      </w:pPr>
    </w:p>
    <w:p>
      <w:pPr>
        <w:spacing w:after="0" w:line="291"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12"/>
          </w:cols>
          <w:pgMar w:left="248" w:top="125" w:right="23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Lansing, certify that:</w:t>
      </w:r>
    </w:p>
    <w:p>
      <w:pPr>
        <w:spacing w:after="0" w:line="13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84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J. Lansing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I. McLaughlin, certify that:</w:t>
      </w:r>
    </w:p>
    <w:p>
      <w:pPr>
        <w:spacing w:after="0" w:line="22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I.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84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I. McLaughlin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84" w:lineRule="exact"/>
        <w:rPr>
          <w:sz w:val="20"/>
          <w:szCs w:val="20"/>
          <w:color w:val="auto"/>
        </w:rPr>
      </w:pPr>
    </w:p>
    <w:p>
      <w:pPr>
        <w:ind w:left="40"/>
        <w:spacing w:after="0"/>
        <w:tabs>
          <w:tab w:leader="none" w:pos="700" w:val="left"/>
          <w:tab w:leader="none" w:pos="5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30, 2020</w:t>
      </w:r>
      <w:r>
        <w:rPr>
          <w:sz w:val="20"/>
          <w:szCs w:val="20"/>
          <w:color w:val="auto"/>
        </w:rPr>
        <w:tab/>
      </w: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J. Lansing</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84" w:lineRule="exact"/>
        <w:rPr>
          <w:sz w:val="20"/>
          <w:szCs w:val="20"/>
          <w:color w:val="auto"/>
        </w:rPr>
      </w:pPr>
    </w:p>
    <w:p>
      <w:pPr>
        <w:ind w:left="40"/>
        <w:spacing w:after="0"/>
        <w:tabs>
          <w:tab w:leader="none" w:pos="700" w:val="left"/>
          <w:tab w:leader="none" w:pos="5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30, 2020</w:t>
      </w:r>
      <w:r>
        <w:rPr>
          <w:sz w:val="20"/>
          <w:szCs w:val="20"/>
          <w:color w:val="auto"/>
        </w:rPr>
        <w:tab/>
      </w:r>
      <w:r>
        <w:rPr>
          <w:rFonts w:ascii="Arial" w:cs="Arial" w:eastAsia="Arial" w:hAnsi="Arial"/>
          <w:sz w:val="18"/>
          <w:szCs w:val="18"/>
          <w:color w:val="auto"/>
        </w:rPr>
        <w:t>/s/ MICHAEL I.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Michael I. McLaughlin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9"/>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lowerRoman"/>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lowerRoman"/>
      <w:start w:val="3"/>
    </w:lvl>
  </w:abstractNum>
  <w:abstractNum w:abstractNumId="18">
    <w:nsid w:val="3A95F874"/>
    <w:multiLevelType w:val="hybridMultilevel"/>
    <w:lvl w:ilvl="0">
      <w:lvlJc w:val="left"/>
      <w:lvlText w:val="\endash "/>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6"/>
    </w:lvl>
    <w:lvl w:ilvl="1">
      <w:lvlJc w:val="left"/>
      <w:lvlText w:val="(%2)"/>
      <w:numFmt w:val="lowerLetter"/>
      <w:start w:val="1"/>
    </w:lvl>
  </w:abstractNum>
  <w:abstractNum w:abstractNumId="33">
    <w:nsid w:val="77465F01"/>
    <w:multiLevelType w:val="hybridMultilevel"/>
    <w:lvl w:ilvl="0">
      <w:lvlJc w:val="left"/>
      <w:lvlText w:val="%1."/>
      <w:numFmt w:val="decimal"/>
      <w:start w:val="7"/>
    </w:lvl>
  </w:abstractNum>
  <w:abstractNum w:abstractNumId="34">
    <w:nsid w:val="7724C67E"/>
    <w:multiLevelType w:val="hybridMultilevel"/>
    <w:lvl w:ilvl="0">
      <w:lvlJc w:val="left"/>
      <w:lvlText w:val="%1."/>
      <w:numFmt w:val="decimal"/>
      <w:start w:val="8"/>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decimal"/>
      <w:start w:val="9"/>
    </w:lvl>
    <w:lvl w:ilvl="1">
      <w:lvlJc w:val="left"/>
      <w:lvlText w:val="%2"/>
      <w:numFmt w:val="lowerLetter"/>
      <w:start w:val="1"/>
    </w:lvl>
  </w:abstractNum>
  <w:abstractNum w:abstractNumId="37">
    <w:nsid w:val="5E884ADC"/>
    <w:multiLevelType w:val="hybridMultilevel"/>
    <w:lvl w:ilvl="0">
      <w:lvlJc w:val="left"/>
      <w:lvlText w:val="%1."/>
      <w:numFmt w:val="decimal"/>
      <w:start w:val="1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34" Type="http://schemas.openxmlformats.org/officeDocument/2006/relationships/hyperlink" Target="http://www.sec.gov/Archives/edgar/data/814547/000095012310009970/c56194exv3w2.htm" TargetMode="External"/><Relationship Id="rId35" Type="http://schemas.openxmlformats.org/officeDocument/2006/relationships/hyperlink" Target="http://www.sec.gov/Archives/edgar/data/814547/000095012310009970/c56194exv3w1.htm" TargetMode="External"/><Relationship Id="rId36" Type="http://schemas.openxmlformats.org/officeDocument/2006/relationships/hyperlink" Target="http://www.sec.gov/Archives/edgar/data/814547/000119312519308369/d83864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2020-01-31T13:21:48Z</dcterms:created>
  <dcterms:modified xsi:type="dcterms:W3CDTF">2020-01-31T13:21:48Z</dcterms:modified>
</cp:coreProperties>
</file>